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313F2AAA"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1D705D">
        <w:rPr>
          <w:rFonts w:ascii="Times New Roman" w:hAnsi="Times New Roman" w:cs="Times New Roman"/>
          <w:b/>
          <w:bCs/>
          <w:sz w:val="24"/>
          <w:szCs w:val="24"/>
          <w:lang w:val="ro-RO"/>
        </w:rPr>
        <w:t>03</w:t>
      </w:r>
      <w:r w:rsidRPr="00071E16">
        <w:rPr>
          <w:rFonts w:ascii="Times New Roman" w:hAnsi="Times New Roman" w:cs="Times New Roman"/>
          <w:b/>
          <w:bCs/>
          <w:sz w:val="24"/>
          <w:szCs w:val="24"/>
          <w:lang w:val="ro-RO"/>
        </w:rPr>
        <w:t xml:space="preserve"> </w:t>
      </w:r>
      <w:r w:rsidR="001D705D">
        <w:rPr>
          <w:rFonts w:ascii="Times New Roman" w:hAnsi="Times New Roman" w:cs="Times New Roman"/>
          <w:b/>
          <w:bCs/>
          <w:sz w:val="24"/>
          <w:szCs w:val="24"/>
          <w:lang w:val="ro-RO"/>
        </w:rPr>
        <w:t>ma</w:t>
      </w:r>
      <w:r w:rsidR="00A12F01" w:rsidRPr="00071E16">
        <w:rPr>
          <w:rFonts w:ascii="Times New Roman" w:hAnsi="Times New Roman" w:cs="Times New Roman"/>
          <w:b/>
          <w:bCs/>
          <w:sz w:val="24"/>
          <w:szCs w:val="24"/>
          <w:lang w:val="ro-RO"/>
        </w:rPr>
        <w:t>r</w:t>
      </w:r>
      <w:r w:rsidR="001D705D">
        <w:rPr>
          <w:rFonts w:ascii="Times New Roman" w:hAnsi="Times New Roman" w:cs="Times New Roman"/>
          <w:b/>
          <w:bCs/>
          <w:sz w:val="24"/>
          <w:szCs w:val="24"/>
          <w:lang w:val="ro-RO"/>
        </w:rPr>
        <w:t>t</w:t>
      </w:r>
      <w:r w:rsidR="00A12F01" w:rsidRPr="00071E16">
        <w:rPr>
          <w:rFonts w:ascii="Times New Roman" w:hAnsi="Times New Roman" w:cs="Times New Roman"/>
          <w:b/>
          <w:bCs/>
          <w:sz w:val="24"/>
          <w:szCs w:val="24"/>
          <w:lang w:val="ro-RO"/>
        </w:rPr>
        <w:t xml:space="preserve">ie </w:t>
      </w:r>
      <w:r w:rsidRPr="00071E16">
        <w:rPr>
          <w:rFonts w:ascii="Times New Roman" w:hAnsi="Times New Roman" w:cs="Times New Roman"/>
          <w:b/>
          <w:bCs/>
          <w:sz w:val="24"/>
          <w:szCs w:val="24"/>
          <w:lang w:val="ro-RO"/>
        </w:rPr>
        <w:t>202</w:t>
      </w:r>
      <w:r w:rsidR="001D705D">
        <w:rPr>
          <w:rFonts w:ascii="Times New Roman" w:hAnsi="Times New Roman" w:cs="Times New Roman"/>
          <w:b/>
          <w:bCs/>
          <w:sz w:val="24"/>
          <w:szCs w:val="24"/>
          <w:lang w:val="ro-RO"/>
        </w:rPr>
        <w:t>6</w:t>
      </w:r>
      <w:r w:rsidRPr="00071E16">
        <w:rPr>
          <w:rFonts w:ascii="Times New Roman" w:hAnsi="Times New Roman" w:cs="Times New Roman"/>
          <w:b/>
          <w:bCs/>
          <w:sz w:val="24"/>
          <w:szCs w:val="24"/>
          <w:lang w:val="ro-RO"/>
        </w:rPr>
        <w:t xml:space="preserve">, orele </w:t>
      </w:r>
      <w:r w:rsidR="00F4108F" w:rsidRPr="00071E16">
        <w:rPr>
          <w:rFonts w:ascii="Times New Roman" w:hAnsi="Times New Roman" w:cs="Times New Roman"/>
          <w:b/>
          <w:bCs/>
          <w:sz w:val="24"/>
          <w:szCs w:val="24"/>
          <w:lang w:val="ro-RO"/>
        </w:rPr>
        <w:t>10</w:t>
      </w:r>
      <w:r w:rsidRPr="00071E16">
        <w:rPr>
          <w:rFonts w:ascii="Times New Roman" w:hAnsi="Times New Roman" w:cs="Times New Roman"/>
          <w:b/>
          <w:bCs/>
          <w:sz w:val="24"/>
          <w:szCs w:val="24"/>
          <w:lang w:val="ro-RO"/>
        </w:rPr>
        <w:t>:</w:t>
      </w:r>
      <w:r w:rsidR="004C2A43" w:rsidRPr="00071E16">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6B9DB2AA"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şi-a desfăşurat lucrările în ziua de </w:t>
      </w:r>
      <w:r w:rsidR="001D705D">
        <w:rPr>
          <w:rFonts w:ascii="Times New Roman" w:eastAsia="Times New Roman" w:hAnsi="Times New Roman" w:cs="Times New Roman"/>
          <w:sz w:val="24"/>
          <w:szCs w:val="24"/>
          <w:lang w:val="ro-RO"/>
        </w:rPr>
        <w:t>03</w:t>
      </w:r>
      <w:r w:rsidRPr="00071E16">
        <w:rPr>
          <w:rFonts w:ascii="Times New Roman" w:eastAsia="Times New Roman" w:hAnsi="Times New Roman" w:cs="Times New Roman"/>
          <w:sz w:val="24"/>
          <w:szCs w:val="24"/>
          <w:lang w:val="ro-RO"/>
        </w:rPr>
        <w:t xml:space="preserve"> </w:t>
      </w:r>
      <w:r w:rsidR="001D705D">
        <w:rPr>
          <w:rFonts w:ascii="Times New Roman" w:eastAsia="Times New Roman" w:hAnsi="Times New Roman" w:cs="Times New Roman"/>
          <w:sz w:val="24"/>
          <w:szCs w:val="24"/>
          <w:lang w:val="ro-RO"/>
        </w:rPr>
        <w:t>ma</w:t>
      </w:r>
      <w:r w:rsidR="00C4566A" w:rsidRPr="00071E16">
        <w:rPr>
          <w:rFonts w:ascii="Times New Roman" w:eastAsia="Times New Roman" w:hAnsi="Times New Roman" w:cs="Times New Roman"/>
          <w:sz w:val="24"/>
          <w:szCs w:val="24"/>
          <w:lang w:val="ro-RO"/>
        </w:rPr>
        <w:t>r</w:t>
      </w:r>
      <w:r w:rsidR="001D705D">
        <w:rPr>
          <w:rFonts w:ascii="Times New Roman" w:eastAsia="Times New Roman" w:hAnsi="Times New Roman" w:cs="Times New Roman"/>
          <w:sz w:val="24"/>
          <w:szCs w:val="24"/>
          <w:lang w:val="ro-RO"/>
        </w:rPr>
        <w:t>t</w:t>
      </w:r>
      <w:r w:rsidR="00C4566A" w:rsidRPr="00071E16">
        <w:rPr>
          <w:rFonts w:ascii="Times New Roman" w:eastAsia="Times New Roman" w:hAnsi="Times New Roman" w:cs="Times New Roman"/>
          <w:sz w:val="24"/>
          <w:szCs w:val="24"/>
          <w:lang w:val="ro-RO"/>
        </w:rPr>
        <w:t>ie</w:t>
      </w:r>
      <w:r w:rsidRPr="00071E16">
        <w:rPr>
          <w:rFonts w:ascii="Times New Roman" w:eastAsia="Times New Roman" w:hAnsi="Times New Roman" w:cs="Times New Roman"/>
          <w:sz w:val="24"/>
          <w:szCs w:val="24"/>
          <w:lang w:val="ro-RO"/>
        </w:rPr>
        <w:t xml:space="preserve"> 202</w:t>
      </w:r>
      <w:r w:rsidR="001D705D">
        <w:rPr>
          <w:rFonts w:ascii="Times New Roman" w:eastAsia="Times New Roman" w:hAnsi="Times New Roman" w:cs="Times New Roman"/>
          <w:sz w:val="24"/>
          <w:szCs w:val="24"/>
          <w:lang w:val="ro-RO"/>
        </w:rPr>
        <w:t>6</w:t>
      </w:r>
      <w:r w:rsidR="00855956" w:rsidRPr="00071E16">
        <w:rPr>
          <w:rFonts w:ascii="Times New Roman" w:eastAsia="Times New Roman" w:hAnsi="Times New Roman" w:cs="Times New Roman"/>
          <w:sz w:val="24"/>
          <w:szCs w:val="24"/>
          <w:lang w:val="ro-RO"/>
        </w:rPr>
        <w:t>.</w:t>
      </w:r>
    </w:p>
    <w:p w14:paraId="041BE1AA" w14:textId="6E496290" w:rsidR="00DD018D" w:rsidRPr="00071E16" w:rsidRDefault="006A5E33" w:rsidP="00DD018D">
      <w:pPr>
        <w:pStyle w:val="Corp"/>
        <w:tabs>
          <w:tab w:val="left" w:pos="567"/>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DD018D" w:rsidRPr="00071E16">
        <w:rPr>
          <w:rFonts w:ascii="Times New Roman" w:eastAsia="Times New Roman" w:hAnsi="Times New Roman" w:cs="Times New Roman"/>
          <w:sz w:val="24"/>
          <w:szCs w:val="24"/>
          <w:lang w:val="ro-RO"/>
        </w:rPr>
        <w:t xml:space="preserve">edința s-a desfășurat în sistem mixt, începând cu ora </w:t>
      </w:r>
      <w:r w:rsidR="00F4108F" w:rsidRPr="00071E16">
        <w:rPr>
          <w:rFonts w:ascii="Times New Roman" w:eastAsia="Times New Roman" w:hAnsi="Times New Roman" w:cs="Times New Roman"/>
          <w:sz w:val="24"/>
          <w:szCs w:val="24"/>
          <w:lang w:val="ro-RO"/>
        </w:rPr>
        <w:t>10</w:t>
      </w:r>
      <w:r w:rsidR="00DD018D" w:rsidRPr="00071E16">
        <w:rPr>
          <w:rFonts w:ascii="Times New Roman" w:eastAsia="Times New Roman" w:hAnsi="Times New Roman" w:cs="Times New Roman"/>
          <w:sz w:val="24"/>
          <w:szCs w:val="24"/>
          <w:lang w:val="ro-RO"/>
        </w:rPr>
        <w:t>:</w:t>
      </w:r>
      <w:r w:rsidR="004C2A43" w:rsidRPr="00071E16">
        <w:rPr>
          <w:rFonts w:ascii="Times New Roman" w:eastAsia="Times New Roman" w:hAnsi="Times New Roman" w:cs="Times New Roman"/>
          <w:sz w:val="24"/>
          <w:szCs w:val="24"/>
          <w:lang w:val="ro-RO"/>
        </w:rPr>
        <w:t>0</w:t>
      </w:r>
      <w:r w:rsidR="00DD018D" w:rsidRPr="00071E16">
        <w:rPr>
          <w:rFonts w:ascii="Times New Roman" w:eastAsia="Times New Roman" w:hAnsi="Times New Roman" w:cs="Times New Roman"/>
          <w:sz w:val="24"/>
          <w:szCs w:val="24"/>
          <w:lang w:val="ro-RO"/>
        </w:rPr>
        <w:t>0.</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6FFBEB80" w14:textId="1DC0BC7A" w:rsidR="001622F1" w:rsidRPr="00071E16" w:rsidRDefault="001622F1" w:rsidP="001622F1">
      <w:pPr>
        <w:pStyle w:val="Corp"/>
        <w:tabs>
          <w:tab w:val="left" w:pos="567"/>
        </w:tabs>
        <w:spacing w:before="1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În format fizic:</w:t>
      </w:r>
      <w:r w:rsidR="00E23589" w:rsidRPr="00E23589">
        <w:rPr>
          <w:rFonts w:ascii="Times New Roman" w:hAnsi="Times New Roman" w:cs="Times New Roman"/>
          <w:sz w:val="24"/>
          <w:szCs w:val="24"/>
          <w:lang w:val="ro-RO"/>
        </w:rPr>
        <w:t xml:space="preserve"> </w:t>
      </w:r>
      <w:bookmarkStart w:id="0" w:name="_Hlk211872161"/>
      <w:r w:rsidR="00694EC6">
        <w:rPr>
          <w:rFonts w:ascii="Times New Roman" w:hAnsi="Times New Roman" w:cs="Times New Roman"/>
          <w:sz w:val="24"/>
          <w:szCs w:val="24"/>
          <w:lang w:val="ro-RO"/>
        </w:rPr>
        <w:t xml:space="preserve">dl. </w:t>
      </w:r>
      <w:r w:rsidR="00694EC6">
        <w:rPr>
          <w:rFonts w:ascii="Times New Roman" w:hAnsi="Times New Roman" w:cs="Times New Roman"/>
          <w:color w:val="auto"/>
          <w:sz w:val="24"/>
          <w:szCs w:val="24"/>
          <w:lang w:val="ro-RO"/>
        </w:rPr>
        <w:t xml:space="preserve">senator  Titus Corlăţean – președinte, dl. senator Sorin Lavric – vicepreședinte, dl. senator Clement Sava – secretar dl. senator Adrian Streinu Cercel, dna. senator Carmen Orban, dna. senator </w:t>
      </w:r>
      <w:r w:rsidR="00694EC6" w:rsidRPr="00835519">
        <w:rPr>
          <w:rFonts w:ascii="Times New Roman" w:hAnsi="Times New Roman" w:cs="Times New Roman"/>
          <w:color w:val="auto"/>
          <w:sz w:val="24"/>
          <w:szCs w:val="24"/>
          <w:lang w:val="ro-RO"/>
        </w:rPr>
        <w:t>Cristina-Gabriella</w:t>
      </w:r>
      <w:r w:rsidR="00694EC6">
        <w:rPr>
          <w:rFonts w:ascii="Times New Roman" w:hAnsi="Times New Roman" w:cs="Times New Roman"/>
          <w:color w:val="auto"/>
          <w:sz w:val="24"/>
          <w:szCs w:val="24"/>
          <w:lang w:val="ro-RO"/>
        </w:rPr>
        <w:t xml:space="preserve"> D</w:t>
      </w:r>
      <w:r w:rsidR="00694EC6" w:rsidRPr="00835519">
        <w:rPr>
          <w:rFonts w:ascii="Times New Roman" w:hAnsi="Times New Roman" w:cs="Times New Roman"/>
          <w:color w:val="auto"/>
          <w:sz w:val="24"/>
          <w:szCs w:val="24"/>
          <w:lang w:val="ro-RO"/>
        </w:rPr>
        <w:t>umitrescu</w:t>
      </w:r>
      <w:r w:rsidR="00694EC6">
        <w:rPr>
          <w:rFonts w:ascii="Times New Roman" w:hAnsi="Times New Roman" w:cs="Times New Roman"/>
          <w:color w:val="auto"/>
          <w:sz w:val="24"/>
          <w:szCs w:val="24"/>
          <w:lang w:val="ro-RO"/>
        </w:rPr>
        <w:t>, dl. senator Andrei Dîrlău, dl. senator George-Cătălin Bochileanu;</w:t>
      </w:r>
      <w:r w:rsidR="00694EC6" w:rsidRPr="00835519">
        <w:rPr>
          <w:rFonts w:ascii="Times New Roman" w:hAnsi="Times New Roman" w:cs="Times New Roman"/>
          <w:color w:val="auto"/>
          <w:sz w:val="24"/>
          <w:szCs w:val="24"/>
          <w:lang w:val="ro-RO"/>
        </w:rPr>
        <w:t xml:space="preserve"> </w:t>
      </w:r>
      <w:r w:rsidR="00694EC6">
        <w:rPr>
          <w:rFonts w:ascii="Times New Roman" w:hAnsi="Times New Roman" w:cs="Times New Roman"/>
          <w:color w:val="auto"/>
          <w:sz w:val="24"/>
          <w:szCs w:val="24"/>
          <w:lang w:val="ro-RO"/>
        </w:rPr>
        <w:t xml:space="preserve">dl. senator </w:t>
      </w:r>
      <w:r w:rsidR="00694EC6" w:rsidRPr="00835519">
        <w:rPr>
          <w:rFonts w:ascii="Times New Roman" w:hAnsi="Times New Roman" w:cs="Times New Roman"/>
          <w:color w:val="auto"/>
          <w:sz w:val="24"/>
          <w:szCs w:val="24"/>
          <w:lang w:val="ro-RO"/>
        </w:rPr>
        <w:t xml:space="preserve">Cristian-Augustin </w:t>
      </w:r>
      <w:r w:rsidR="00694EC6">
        <w:rPr>
          <w:rFonts w:ascii="Times New Roman" w:hAnsi="Times New Roman" w:cs="Times New Roman"/>
          <w:color w:val="auto"/>
          <w:sz w:val="24"/>
          <w:szCs w:val="24"/>
          <w:lang w:val="ro-RO"/>
        </w:rPr>
        <w:t>N</w:t>
      </w:r>
      <w:r w:rsidR="00694EC6" w:rsidRPr="00835519">
        <w:rPr>
          <w:rFonts w:ascii="Times New Roman" w:hAnsi="Times New Roman" w:cs="Times New Roman"/>
          <w:color w:val="auto"/>
          <w:sz w:val="24"/>
          <w:szCs w:val="24"/>
          <w:lang w:val="ro-RO"/>
        </w:rPr>
        <w:t>iculescu-</w:t>
      </w:r>
      <w:r w:rsidR="00694EC6">
        <w:rPr>
          <w:rFonts w:ascii="Times New Roman" w:hAnsi="Times New Roman" w:cs="Times New Roman"/>
          <w:color w:val="auto"/>
          <w:sz w:val="24"/>
          <w:szCs w:val="24"/>
          <w:lang w:val="ro-RO"/>
        </w:rPr>
        <w:t>Ț</w:t>
      </w:r>
      <w:r w:rsidR="00694EC6" w:rsidRPr="00835519">
        <w:rPr>
          <w:rFonts w:ascii="Times New Roman" w:hAnsi="Times New Roman" w:cs="Times New Roman"/>
          <w:color w:val="auto"/>
          <w:sz w:val="24"/>
          <w:szCs w:val="24"/>
          <w:lang w:val="ro-RO"/>
        </w:rPr>
        <w:t>âgârlaş</w:t>
      </w:r>
      <w:r w:rsidR="00694EC6">
        <w:rPr>
          <w:rFonts w:ascii="Times New Roman" w:hAnsi="Times New Roman" w:cs="Times New Roman"/>
          <w:color w:val="auto"/>
          <w:sz w:val="24"/>
          <w:szCs w:val="24"/>
          <w:lang w:val="ro-RO"/>
        </w:rPr>
        <w:t>, senator Simona Spătaru</w:t>
      </w:r>
      <w:bookmarkStart w:id="1" w:name="_Hlk209003129"/>
      <w:r w:rsidR="00694EC6">
        <w:rPr>
          <w:rFonts w:ascii="Times New Roman" w:hAnsi="Times New Roman" w:cs="Times New Roman"/>
          <w:color w:val="auto"/>
          <w:sz w:val="24"/>
          <w:szCs w:val="24"/>
          <w:lang w:val="ro-RO"/>
        </w:rPr>
        <w:t xml:space="preserve">, </w:t>
      </w:r>
      <w:bookmarkEnd w:id="1"/>
      <w:r w:rsidR="00694EC6">
        <w:rPr>
          <w:rFonts w:ascii="Times New Roman" w:hAnsi="Times New Roman" w:cs="Times New Roman"/>
          <w:color w:val="auto"/>
          <w:sz w:val="24"/>
          <w:szCs w:val="24"/>
          <w:lang w:val="ro-RO"/>
        </w:rPr>
        <w:t xml:space="preserve">dl. senator Sorin Cimpeanu, dl. senator Robert Cazanciuc, dl. senator Eugen Dogariu; dl. senator Novak Levente, dl. senator </w:t>
      </w:r>
      <w:r w:rsidR="00694EC6" w:rsidRPr="0015666E">
        <w:rPr>
          <w:rFonts w:ascii="Times New Roman" w:hAnsi="Times New Roman" w:cs="Times New Roman"/>
          <w:color w:val="auto"/>
          <w:sz w:val="24"/>
          <w:szCs w:val="24"/>
          <w:lang w:val="ro-RO"/>
        </w:rPr>
        <w:t>Marian-Cătălin P</w:t>
      </w:r>
      <w:r w:rsidR="00694EC6">
        <w:rPr>
          <w:rFonts w:ascii="Times New Roman" w:hAnsi="Times New Roman" w:cs="Times New Roman"/>
          <w:color w:val="auto"/>
          <w:sz w:val="24"/>
          <w:szCs w:val="24"/>
          <w:lang w:val="ro-RO"/>
        </w:rPr>
        <w:t>redoiu.</w:t>
      </w:r>
      <w:bookmarkEnd w:id="0"/>
    </w:p>
    <w:p w14:paraId="2E868D08" w14:textId="6122131B" w:rsidR="001622F1" w:rsidRPr="00071E16" w:rsidRDefault="001622F1" w:rsidP="001622F1">
      <w:pPr>
        <w:pStyle w:val="Corp"/>
        <w:tabs>
          <w:tab w:val="left" w:pos="567"/>
        </w:tabs>
        <w:spacing w:before="120" w:after="0" w:line="240" w:lineRule="auto"/>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 xml:space="preserve">În format online: </w:t>
      </w:r>
      <w:r w:rsidR="00694EC6">
        <w:rPr>
          <w:rFonts w:ascii="Times New Roman" w:hAnsi="Times New Roman" w:cs="Times New Roman"/>
          <w:sz w:val="24"/>
          <w:szCs w:val="24"/>
          <w:lang w:val="ro-RO"/>
        </w:rPr>
        <w:t xml:space="preserve">dl. </w:t>
      </w:r>
      <w:r w:rsidR="00694EC6">
        <w:rPr>
          <w:rFonts w:ascii="Times New Roman" w:hAnsi="Times New Roman" w:cs="Times New Roman"/>
          <w:color w:val="auto"/>
          <w:sz w:val="24"/>
          <w:szCs w:val="24"/>
          <w:lang w:val="ro-RO"/>
        </w:rPr>
        <w:t xml:space="preserve">senator  Titus Corlăţean – președinte, dl. senator Sorin Lavric – vicepreședinte, dl. senator Clement Sava – secretar dl. senator Adrian Streinu Cercel, dna. senator Carmen Orban, dna. senator </w:t>
      </w:r>
      <w:r w:rsidR="00694EC6" w:rsidRPr="00835519">
        <w:rPr>
          <w:rFonts w:ascii="Times New Roman" w:hAnsi="Times New Roman" w:cs="Times New Roman"/>
          <w:color w:val="auto"/>
          <w:sz w:val="24"/>
          <w:szCs w:val="24"/>
          <w:lang w:val="ro-RO"/>
        </w:rPr>
        <w:t>Cristina-Gabriella</w:t>
      </w:r>
      <w:r w:rsidR="00694EC6">
        <w:rPr>
          <w:rFonts w:ascii="Times New Roman" w:hAnsi="Times New Roman" w:cs="Times New Roman"/>
          <w:color w:val="auto"/>
          <w:sz w:val="24"/>
          <w:szCs w:val="24"/>
          <w:lang w:val="ro-RO"/>
        </w:rPr>
        <w:t xml:space="preserve"> D</w:t>
      </w:r>
      <w:r w:rsidR="00694EC6" w:rsidRPr="00835519">
        <w:rPr>
          <w:rFonts w:ascii="Times New Roman" w:hAnsi="Times New Roman" w:cs="Times New Roman"/>
          <w:color w:val="auto"/>
          <w:sz w:val="24"/>
          <w:szCs w:val="24"/>
          <w:lang w:val="ro-RO"/>
        </w:rPr>
        <w:t>umitrescu</w:t>
      </w:r>
      <w:r w:rsidR="00694EC6">
        <w:rPr>
          <w:rFonts w:ascii="Times New Roman" w:hAnsi="Times New Roman" w:cs="Times New Roman"/>
          <w:color w:val="auto"/>
          <w:sz w:val="24"/>
          <w:szCs w:val="24"/>
          <w:lang w:val="ro-RO"/>
        </w:rPr>
        <w:t>, dl. senator Andrei Dîrlău, dl. senator George-Cătălin Bochileanu;</w:t>
      </w:r>
      <w:r w:rsidR="00694EC6" w:rsidRPr="00835519">
        <w:rPr>
          <w:rFonts w:ascii="Times New Roman" w:hAnsi="Times New Roman" w:cs="Times New Roman"/>
          <w:color w:val="auto"/>
          <w:sz w:val="24"/>
          <w:szCs w:val="24"/>
          <w:lang w:val="ro-RO"/>
        </w:rPr>
        <w:t xml:space="preserve"> </w:t>
      </w:r>
      <w:r w:rsidR="00694EC6">
        <w:rPr>
          <w:rFonts w:ascii="Times New Roman" w:hAnsi="Times New Roman" w:cs="Times New Roman"/>
          <w:color w:val="auto"/>
          <w:sz w:val="24"/>
          <w:szCs w:val="24"/>
          <w:lang w:val="ro-RO"/>
        </w:rPr>
        <w:t xml:space="preserve">dl. senator </w:t>
      </w:r>
      <w:r w:rsidR="00694EC6" w:rsidRPr="00835519">
        <w:rPr>
          <w:rFonts w:ascii="Times New Roman" w:hAnsi="Times New Roman" w:cs="Times New Roman"/>
          <w:color w:val="auto"/>
          <w:sz w:val="24"/>
          <w:szCs w:val="24"/>
          <w:lang w:val="ro-RO"/>
        </w:rPr>
        <w:t xml:space="preserve">Cristian-Augustin </w:t>
      </w:r>
      <w:r w:rsidR="00694EC6">
        <w:rPr>
          <w:rFonts w:ascii="Times New Roman" w:hAnsi="Times New Roman" w:cs="Times New Roman"/>
          <w:color w:val="auto"/>
          <w:sz w:val="24"/>
          <w:szCs w:val="24"/>
          <w:lang w:val="ro-RO"/>
        </w:rPr>
        <w:t>N</w:t>
      </w:r>
      <w:r w:rsidR="00694EC6" w:rsidRPr="00835519">
        <w:rPr>
          <w:rFonts w:ascii="Times New Roman" w:hAnsi="Times New Roman" w:cs="Times New Roman"/>
          <w:color w:val="auto"/>
          <w:sz w:val="24"/>
          <w:szCs w:val="24"/>
          <w:lang w:val="ro-RO"/>
        </w:rPr>
        <w:t>iculescu-</w:t>
      </w:r>
      <w:r w:rsidR="00694EC6">
        <w:rPr>
          <w:rFonts w:ascii="Times New Roman" w:hAnsi="Times New Roman" w:cs="Times New Roman"/>
          <w:color w:val="auto"/>
          <w:sz w:val="24"/>
          <w:szCs w:val="24"/>
          <w:lang w:val="ro-RO"/>
        </w:rPr>
        <w:t>Ț</w:t>
      </w:r>
      <w:r w:rsidR="00694EC6" w:rsidRPr="00835519">
        <w:rPr>
          <w:rFonts w:ascii="Times New Roman" w:hAnsi="Times New Roman" w:cs="Times New Roman"/>
          <w:color w:val="auto"/>
          <w:sz w:val="24"/>
          <w:szCs w:val="24"/>
          <w:lang w:val="ro-RO"/>
        </w:rPr>
        <w:t>âgârlaş</w:t>
      </w:r>
      <w:r w:rsidR="00694EC6">
        <w:rPr>
          <w:rFonts w:ascii="Times New Roman" w:hAnsi="Times New Roman" w:cs="Times New Roman"/>
          <w:color w:val="auto"/>
          <w:sz w:val="24"/>
          <w:szCs w:val="24"/>
          <w:lang w:val="ro-RO"/>
        </w:rPr>
        <w:t xml:space="preserve">, senator Simona Spătaru, dl. senator Sorin Cimpeanu, dl. senator Robert Cazanciuc, dl. senator Eugen Dogariu; dl. senator Novak Levente, dl. senator </w:t>
      </w:r>
      <w:r w:rsidR="00694EC6" w:rsidRPr="0015666E">
        <w:rPr>
          <w:rFonts w:ascii="Times New Roman" w:hAnsi="Times New Roman" w:cs="Times New Roman"/>
          <w:color w:val="auto"/>
          <w:sz w:val="24"/>
          <w:szCs w:val="24"/>
          <w:lang w:val="ro-RO"/>
        </w:rPr>
        <w:t>Marian-Cătălin P</w:t>
      </w:r>
      <w:r w:rsidR="00694EC6">
        <w:rPr>
          <w:rFonts w:ascii="Times New Roman" w:hAnsi="Times New Roman" w:cs="Times New Roman"/>
          <w:color w:val="auto"/>
          <w:sz w:val="24"/>
          <w:szCs w:val="24"/>
          <w:lang w:val="ro-RO"/>
        </w:rPr>
        <w:t>redoiu.</w:t>
      </w:r>
    </w:p>
    <w:p w14:paraId="3D9ECD0C" w14:textId="046D6DA0" w:rsidR="00842797" w:rsidRPr="00071E1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Ședința a fost condusă de dl. senator  Titus Corlăţean, președintele Comisiei.</w:t>
      </w:r>
    </w:p>
    <w:p w14:paraId="061B9BE3" w14:textId="105727A0"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6C642492" w14:textId="79B058CA" w:rsidR="00DD018D" w:rsidRPr="00071E1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1.</w:t>
      </w:r>
      <w:r w:rsidR="009740C6" w:rsidRPr="00071E16">
        <w:rPr>
          <w:rFonts w:ascii="Times New Roman" w:hAnsi="Times New Roman" w:cs="Times New Roman"/>
          <w:color w:val="auto"/>
          <w:sz w:val="24"/>
          <w:szCs w:val="24"/>
          <w:lang w:val="ro-RO"/>
        </w:rPr>
        <w:t xml:space="preserve"> Inițiative legislative aflate în portofoliul comisiei pentru dezbatere în fond</w:t>
      </w:r>
      <w:r w:rsidR="00A150B7" w:rsidRPr="00071E16">
        <w:rPr>
          <w:rFonts w:ascii="Times New Roman" w:hAnsi="Times New Roman" w:cs="Times New Roman"/>
          <w:color w:val="auto"/>
          <w:sz w:val="24"/>
          <w:szCs w:val="24"/>
          <w:lang w:val="ro-RO"/>
        </w:rPr>
        <w:t>;</w:t>
      </w:r>
    </w:p>
    <w:p w14:paraId="3B9493A5" w14:textId="4E9A8A6D" w:rsidR="00A150B7" w:rsidRPr="00071E16"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2. Comunicări europene aflate în portofoliul comisiei pentru dezbatere în fond;</w:t>
      </w:r>
    </w:p>
    <w:p w14:paraId="32CB52EB" w14:textId="0F06C612" w:rsidR="00DD018D" w:rsidRPr="00071E16" w:rsidRDefault="00A150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3</w:t>
      </w:r>
      <w:r w:rsidR="00DD018D" w:rsidRPr="00071E1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65FB1397" w14:textId="04CE235B" w:rsidR="001D705D" w:rsidRPr="00071E16" w:rsidRDefault="00095C58" w:rsidP="001D705D">
      <w:pPr>
        <w:pStyle w:val="Corp"/>
        <w:numPr>
          <w:ilvl w:val="0"/>
          <w:numId w:val="25"/>
        </w:numPr>
        <w:tabs>
          <w:tab w:val="left" w:pos="567"/>
        </w:tabs>
        <w:spacing w:before="120" w:after="0" w:line="240" w:lineRule="auto"/>
        <w:jc w:val="both"/>
        <w:rPr>
          <w:rFonts w:ascii="Times New Roman" w:hAnsi="Times New Roman" w:cs="Times New Roman"/>
          <w:b/>
          <w:sz w:val="24"/>
          <w:szCs w:val="24"/>
          <w:lang w:val="ro-RO"/>
        </w:rPr>
      </w:pPr>
      <w:bookmarkStart w:id="2" w:name="_Hlk216256152"/>
      <w:bookmarkStart w:id="3" w:name="_Hlk211411388"/>
      <w:r w:rsidRPr="00071E16">
        <w:rPr>
          <w:rFonts w:ascii="Times New Roman" w:eastAsia="Times New Roman" w:hAnsi="Times New Roman" w:cs="Times New Roman"/>
          <w:b/>
          <w:color w:val="000000" w:themeColor="text1"/>
          <w:sz w:val="24"/>
          <w:szCs w:val="24"/>
          <w:lang w:val="ro-RO"/>
        </w:rPr>
        <w:t>L</w:t>
      </w:r>
      <w:r w:rsidR="001D705D">
        <w:rPr>
          <w:rFonts w:ascii="Times New Roman" w:eastAsia="Times New Roman" w:hAnsi="Times New Roman" w:cs="Times New Roman"/>
          <w:b/>
          <w:color w:val="000000" w:themeColor="text1"/>
          <w:sz w:val="24"/>
          <w:szCs w:val="24"/>
          <w:lang w:val="ro-RO"/>
        </w:rPr>
        <w:t>116</w:t>
      </w:r>
      <w:r w:rsidRPr="00071E16">
        <w:rPr>
          <w:rFonts w:ascii="Times New Roman" w:eastAsia="Times New Roman" w:hAnsi="Times New Roman" w:cs="Times New Roman"/>
          <w:b/>
          <w:color w:val="000000" w:themeColor="text1"/>
          <w:sz w:val="24"/>
          <w:szCs w:val="24"/>
          <w:lang w:val="ro-RO"/>
        </w:rPr>
        <w:t>/202</w:t>
      </w:r>
      <w:r w:rsidR="001D705D">
        <w:rPr>
          <w:rFonts w:ascii="Times New Roman" w:eastAsia="Times New Roman" w:hAnsi="Times New Roman" w:cs="Times New Roman"/>
          <w:b/>
          <w:color w:val="000000" w:themeColor="text1"/>
          <w:sz w:val="24"/>
          <w:szCs w:val="24"/>
          <w:lang w:val="ro-RO"/>
        </w:rPr>
        <w:t>6</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1D705D" w:rsidRPr="00CB34AB">
        <w:rPr>
          <w:rFonts w:ascii="Times New Roman" w:hAnsi="Times New Roman" w:cs="Times New Roman"/>
          <w:b/>
          <w:sz w:val="24"/>
          <w:szCs w:val="24"/>
          <w:lang w:val="ro-RO"/>
        </w:rPr>
        <w:t>Propunere legislativă pentru instituirea anului 2026 - Anul Statelor Unite ale Americii în România</w:t>
      </w:r>
      <w:r w:rsidR="001D705D" w:rsidRPr="006C707E">
        <w:rPr>
          <w:rFonts w:ascii="Times New Roman" w:hAnsi="Times New Roman" w:cs="Times New Roman"/>
          <w:b/>
          <w:sz w:val="24"/>
          <w:szCs w:val="24"/>
          <w:lang w:val="ro-RO"/>
        </w:rPr>
        <w:t>.</w:t>
      </w:r>
    </w:p>
    <w:p w14:paraId="6C2B6DE8" w14:textId="77777777" w:rsidR="001D705D" w:rsidRPr="00071E16" w:rsidRDefault="001D705D" w:rsidP="001D705D">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sidRPr="00CB0AA4">
        <w:rPr>
          <w:rFonts w:ascii="Times New Roman" w:hAnsi="Times New Roman" w:cs="Times New Roman"/>
          <w:bCs/>
          <w:sz w:val="24"/>
          <w:szCs w:val="24"/>
          <w:lang w:val="ro-RO"/>
        </w:rPr>
        <w:t>Dumitrescu Cristina-Gabriella - senator AUR; Peiu Petrișor-Gabriel - senator AUR; Plăeșu Laurențiu - senator AUR; Enache Mihai-Adrian - deputat AUR; Lovin Ramona - deputat AUR; Radu Fabian-Cristian - deputat AUR; Simion George-Nicolae - deputat AUR</w:t>
      </w:r>
      <w:r>
        <w:rPr>
          <w:rFonts w:ascii="Times New Roman" w:hAnsi="Times New Roman" w:cs="Times New Roman"/>
          <w:bCs/>
          <w:sz w:val="24"/>
          <w:szCs w:val="24"/>
          <w:lang w:val="ro-RO"/>
        </w:rPr>
        <w:t>.</w:t>
      </w:r>
    </w:p>
    <w:p w14:paraId="59244641" w14:textId="77777777" w:rsidR="001D705D" w:rsidRPr="00071E16" w:rsidRDefault="001D705D" w:rsidP="001D705D">
      <w:pPr>
        <w:pStyle w:val="Corp"/>
        <w:tabs>
          <w:tab w:val="left" w:pos="567"/>
        </w:tabs>
        <w:spacing w:before="120" w:after="0" w:line="240" w:lineRule="auto"/>
        <w:jc w:val="both"/>
        <w:rPr>
          <w:rFonts w:ascii="Times New Roman" w:hAnsi="Times New Roman" w:cs="Times New Roman"/>
          <w:b/>
          <w:sz w:val="24"/>
          <w:szCs w:val="24"/>
          <w:lang w:val="ro-RO"/>
        </w:rPr>
      </w:pPr>
    </w:p>
    <w:p w14:paraId="5FA817E2" w14:textId="77777777" w:rsidR="001D705D" w:rsidRDefault="001D705D" w:rsidP="001D705D">
      <w:pPr>
        <w:ind w:firstLine="720"/>
        <w:jc w:val="both"/>
      </w:pPr>
      <w:r>
        <w:t>• consolidarea relaţiei strategice româno-americane;</w:t>
      </w:r>
    </w:p>
    <w:p w14:paraId="4EA924FF" w14:textId="77777777" w:rsidR="001D705D" w:rsidRDefault="001D705D" w:rsidP="001D705D">
      <w:pPr>
        <w:ind w:firstLine="720"/>
        <w:jc w:val="both"/>
      </w:pPr>
      <w:r>
        <w:t>• organizarea de evenimente culturale, educaţionale şi academice dedicate istoriei şi valorilor americane;</w:t>
      </w:r>
    </w:p>
    <w:p w14:paraId="49FD3A0E" w14:textId="77777777" w:rsidR="001D705D" w:rsidRDefault="001D705D" w:rsidP="001D705D">
      <w:pPr>
        <w:ind w:firstLine="720"/>
        <w:jc w:val="both"/>
      </w:pPr>
      <w:r>
        <w:t>• promovarea cooperării economice şi a investiţiilor americane în România;</w:t>
      </w:r>
    </w:p>
    <w:p w14:paraId="12A908C0" w14:textId="77777777" w:rsidR="001D705D" w:rsidRDefault="001D705D" w:rsidP="001D705D">
      <w:pPr>
        <w:ind w:firstLine="720"/>
        <w:jc w:val="both"/>
      </w:pPr>
      <w:r>
        <w:t>• reafirmarea angajamentului României faţă de lumea liberă, libertatea de exprimare și democraţia autentică;</w:t>
      </w:r>
    </w:p>
    <w:p w14:paraId="79C1632C" w14:textId="77777777" w:rsidR="001D705D" w:rsidRDefault="001D705D" w:rsidP="001D705D">
      <w:pPr>
        <w:ind w:firstLine="720"/>
        <w:jc w:val="both"/>
      </w:pPr>
      <w:r>
        <w:t>• întărirea legăturilor dintre societăţile română şi americană.</w:t>
      </w:r>
    </w:p>
    <w:p w14:paraId="0B067C62" w14:textId="77777777" w:rsidR="001D705D" w:rsidRPr="00071E16" w:rsidRDefault="001D705D" w:rsidP="001D705D">
      <w:pPr>
        <w:ind w:firstLine="720"/>
        <w:jc w:val="both"/>
        <w:rPr>
          <w:lang w:val="ro-RO"/>
        </w:rPr>
      </w:pPr>
    </w:p>
    <w:p w14:paraId="12DE7693" w14:textId="77777777" w:rsidR="001D705D" w:rsidRPr="00071E16" w:rsidRDefault="001D705D" w:rsidP="001D705D">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7B779700" w14:textId="77777777" w:rsidR="001D705D" w:rsidRPr="0005059E" w:rsidRDefault="001D705D" w:rsidP="001D705D">
      <w:pPr>
        <w:pStyle w:val="Corp"/>
        <w:tabs>
          <w:tab w:val="left" w:pos="567"/>
        </w:tabs>
        <w:spacing w:before="120" w:after="0"/>
        <w:jc w:val="both"/>
        <w:rPr>
          <w:rFonts w:ascii="Times New Roman" w:hAnsi="Times New Roman" w:cs="Times New Roman"/>
          <w:sz w:val="24"/>
          <w:szCs w:val="24"/>
        </w:rPr>
      </w:pPr>
      <w:r w:rsidRPr="00071E16">
        <w:rPr>
          <w:rFonts w:ascii="Times New Roman" w:hAnsi="Times New Roman" w:cs="Times New Roman"/>
          <w:sz w:val="24"/>
          <w:szCs w:val="24"/>
        </w:rPr>
        <w:tab/>
      </w:r>
      <w:r w:rsidRPr="0005059E">
        <w:rPr>
          <w:rFonts w:ascii="Times New Roman" w:hAnsi="Times New Roman" w:cs="Times New Roman"/>
          <w:sz w:val="24"/>
          <w:szCs w:val="24"/>
        </w:rPr>
        <w:t>Din analiza propunerii legislative, se constată că, desi expunerea de motive invocă data de 4 iulie 1776 şi aniversarea a 250 de ani de la acest eveniment ca temei al iniţiativei, proiectul nu instituie</w:t>
      </w:r>
      <w:r>
        <w:rPr>
          <w:rFonts w:ascii="Times New Roman" w:hAnsi="Times New Roman" w:cs="Times New Roman"/>
          <w:sz w:val="24"/>
          <w:szCs w:val="24"/>
        </w:rPr>
        <w:t xml:space="preserve"> </w:t>
      </w:r>
      <w:r w:rsidRPr="0005059E">
        <w:rPr>
          <w:rFonts w:ascii="Times New Roman" w:hAnsi="Times New Roman" w:cs="Times New Roman"/>
          <w:sz w:val="24"/>
          <w:szCs w:val="24"/>
        </w:rPr>
        <w:t>o zi comemorativă, ci consacră întreg anul 2026 acestui eveniment, an care este deja în curs, ceea ce poate diminua eficienţa soluţiei legislative propuse.</w:t>
      </w:r>
    </w:p>
    <w:p w14:paraId="35E8E4A5" w14:textId="77777777" w:rsidR="001D705D" w:rsidRDefault="001D705D" w:rsidP="001D705D">
      <w:pPr>
        <w:pStyle w:val="Corp"/>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Pr="0005059E">
        <w:rPr>
          <w:rFonts w:ascii="Times New Roman" w:hAnsi="Times New Roman" w:cs="Times New Roman"/>
          <w:sz w:val="24"/>
          <w:szCs w:val="24"/>
        </w:rPr>
        <w:t>Pe de altă parte, în practica legislativă, instituirea unor „ani aniversari” are, de regulă, ca obiect, personalități ori evenimente aparținând istoriei și culturii naționale. În schimb, prezenta propunere  legislativă este fundamentată pe aniversarea a 250 de ani de la declararea, la 4 iulie 1776, a independenţei Statelor Unite ale Americii, respectiv pe un reper din istoria unui alt stat.</w:t>
      </w:r>
    </w:p>
    <w:p w14:paraId="33D7E562" w14:textId="77777777" w:rsidR="00A74834" w:rsidRDefault="00A74834" w:rsidP="001D705D">
      <w:pPr>
        <w:jc w:val="both"/>
        <w:rPr>
          <w:rFonts w:eastAsiaTheme="minorHAnsi"/>
          <w:kern w:val="2"/>
          <w:bdr w:val="none" w:sz="0" w:space="0" w:color="auto"/>
          <w14:ligatures w14:val="standardContextual"/>
        </w:rPr>
      </w:pPr>
    </w:p>
    <w:p w14:paraId="336F2180" w14:textId="6C03A0F5" w:rsidR="00095C58" w:rsidRPr="00071E16" w:rsidRDefault="00095C58" w:rsidP="001D705D">
      <w:pPr>
        <w:jc w:val="both"/>
        <w:rPr>
          <w:rFonts w:eastAsia="Times New Roman"/>
          <w:lang w:val="ro-RO"/>
        </w:rPr>
      </w:pPr>
      <w:r w:rsidRPr="00071E16">
        <w:rPr>
          <w:rFonts w:eastAsia="Times New Roman"/>
          <w:lang w:val="ro-RO"/>
        </w:rPr>
        <w:tab/>
        <w:t xml:space="preserve">Membrii Comisiei pentru politică externă au analizat textul </w:t>
      </w:r>
      <w:r w:rsidR="00C61824" w:rsidRPr="00C61824">
        <w:rPr>
          <w:rFonts w:eastAsia="Times New Roman"/>
          <w:lang w:val="ro-RO"/>
        </w:rPr>
        <w:t xml:space="preserve">legii </w:t>
      </w:r>
      <w:r w:rsidR="0081121A" w:rsidRPr="00071E16">
        <w:rPr>
          <w:rFonts w:eastAsia="Times New Roman"/>
          <w:lang w:val="ro-RO"/>
        </w:rPr>
        <w:t xml:space="preserve">și au hotărât, cu unanimitate de voturi, să adopte un </w:t>
      </w:r>
      <w:r w:rsidR="0081121A">
        <w:rPr>
          <w:rFonts w:eastAsia="Times New Roman"/>
          <w:lang w:val="ro-RO"/>
        </w:rPr>
        <w:t xml:space="preserve">aviz </w:t>
      </w:r>
      <w:r w:rsidR="00A74834">
        <w:rPr>
          <w:rFonts w:eastAsia="Times New Roman"/>
          <w:lang w:val="ro-RO"/>
        </w:rPr>
        <w:t>favorabil, fără amendamente</w:t>
      </w:r>
      <w:r w:rsidR="0081121A">
        <w:rPr>
          <w:rFonts w:eastAsia="Times New Roman"/>
          <w:lang w:val="ro-RO"/>
        </w:rPr>
        <w:t>.</w:t>
      </w:r>
    </w:p>
    <w:p w14:paraId="496502DE" w14:textId="77777777" w:rsidR="00095C58" w:rsidRPr="00071E16" w:rsidRDefault="00095C58" w:rsidP="001D705D">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dna Elisabeta David, având funcția de director general.</w:t>
      </w:r>
    </w:p>
    <w:bookmarkEnd w:id="2"/>
    <w:p w14:paraId="3763C438" w14:textId="1E203002"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A74834">
        <w:rPr>
          <w:rFonts w:ascii="Times New Roman" w:eastAsia="Times New Roman" w:hAnsi="Times New Roman" w:cs="Times New Roman"/>
          <w:b/>
          <w:color w:val="000000" w:themeColor="text1"/>
          <w:sz w:val="24"/>
          <w:szCs w:val="24"/>
          <w:lang w:val="ro-RO"/>
        </w:rPr>
        <w:t>581</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A74834" w:rsidRPr="00A74834">
        <w:rPr>
          <w:rFonts w:ascii="Times New Roman" w:hAnsi="Times New Roman" w:cs="Times New Roman"/>
          <w:b/>
          <w:sz w:val="24"/>
          <w:szCs w:val="24"/>
          <w:lang w:val="ro-RO"/>
        </w:rPr>
        <w:t>Proiect de lege pentru aprobarea Ordonanţei de urgenţã a Guvernului nr.67/2025 pentru modificarea şi completarea Legii petrolului nr.238/2004</w:t>
      </w:r>
      <w:r w:rsidR="00A74834">
        <w:rPr>
          <w:rFonts w:ascii="Times New Roman" w:hAnsi="Times New Roman" w:cs="Times New Roman"/>
          <w:b/>
          <w:sz w:val="24"/>
          <w:szCs w:val="24"/>
          <w:lang w:val="ro-RO"/>
        </w:rPr>
        <w:t>.</w:t>
      </w:r>
    </w:p>
    <w:p w14:paraId="096B6CA4" w14:textId="3AF58273"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2367E3">
        <w:rPr>
          <w:rFonts w:ascii="Times New Roman" w:hAnsi="Times New Roman" w:cs="Times New Roman"/>
          <w:b/>
          <w:sz w:val="24"/>
          <w:szCs w:val="24"/>
          <w:lang w:val="ro-RO"/>
        </w:rPr>
        <w:t>Guvernul României</w:t>
      </w:r>
    </w:p>
    <w:p w14:paraId="79339050"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090C85A0" w14:textId="77777777" w:rsidR="00DD540A" w:rsidRDefault="00DD540A" w:rsidP="00DD540A">
      <w:pPr>
        <w:ind w:firstLine="720"/>
        <w:jc w:val="both"/>
      </w:pPr>
      <w:r>
        <w:t>Situaţiile reglementate, în forma actuală a Legii petrolului nr.238/2004, în care un titular poate să-şi piardă calitatea de titular sunt:</w:t>
      </w:r>
    </w:p>
    <w:p w14:paraId="406EFFCD" w14:textId="77777777" w:rsidR="00DD540A" w:rsidRDefault="00DD540A" w:rsidP="00DD540A">
      <w:pPr>
        <w:ind w:firstLine="720"/>
        <w:jc w:val="both"/>
      </w:pPr>
      <w:r>
        <w:t>- Transferul acordului petrolier</w:t>
      </w:r>
    </w:p>
    <w:p w14:paraId="7D58298B" w14:textId="77777777" w:rsidR="00DD540A" w:rsidRDefault="00DD540A" w:rsidP="00DD540A">
      <w:pPr>
        <w:ind w:firstLine="720"/>
        <w:jc w:val="both"/>
      </w:pPr>
      <w:r>
        <w:t>- Expirarea acordului petrolier</w:t>
      </w:r>
    </w:p>
    <w:p w14:paraId="3A3EC40A" w14:textId="77777777" w:rsidR="00DD540A" w:rsidRDefault="00DD540A" w:rsidP="00DD540A">
      <w:pPr>
        <w:ind w:firstLine="720"/>
        <w:jc w:val="both"/>
      </w:pPr>
      <w:r>
        <w:t>- Renunţarea titularului la acord</w:t>
      </w:r>
    </w:p>
    <w:p w14:paraId="14F387EE" w14:textId="77777777" w:rsidR="00DD540A" w:rsidRDefault="00DD540A" w:rsidP="00DD540A">
      <w:pPr>
        <w:ind w:firstLine="720"/>
        <w:jc w:val="both"/>
      </w:pPr>
      <w:r>
        <w:t>-Rezilierea acordului</w:t>
      </w:r>
    </w:p>
    <w:p w14:paraId="7BFA824C" w14:textId="5DB27633" w:rsidR="00817A94" w:rsidRDefault="00DD540A" w:rsidP="00DD540A">
      <w:pPr>
        <w:ind w:firstLine="720"/>
        <w:jc w:val="both"/>
      </w:pPr>
      <w:r>
        <w:t>- Denunţarea unilaterală a acordului pentru motive de siguranţă naţională.</w:t>
      </w:r>
      <w:r w:rsidR="00817A94">
        <w:tab/>
      </w:r>
    </w:p>
    <w:p w14:paraId="5328FF96" w14:textId="01AA43DF" w:rsidR="00095C58" w:rsidRPr="00817A94" w:rsidRDefault="00817A94" w:rsidP="00817A94">
      <w:pPr>
        <w:ind w:firstLine="720"/>
        <w:jc w:val="both"/>
      </w:pPr>
      <w:r>
        <w:tab/>
      </w:r>
    </w:p>
    <w:p w14:paraId="66E20EA2"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184A9E82" w14:textId="77777777" w:rsidR="00DD540A" w:rsidRPr="00DD540A" w:rsidRDefault="00095C58" w:rsidP="00DD540A">
      <w:pPr>
        <w:jc w:val="both"/>
        <w:rPr>
          <w:rFonts w:eastAsiaTheme="minorHAnsi"/>
          <w:kern w:val="2"/>
          <w:bdr w:val="none" w:sz="0" w:space="0" w:color="auto"/>
          <w14:ligatures w14:val="standardContextual"/>
        </w:rPr>
      </w:pPr>
      <w:r w:rsidRPr="00071E16">
        <w:tab/>
      </w:r>
      <w:r w:rsidR="00DD540A" w:rsidRPr="00DD540A">
        <w:rPr>
          <w:rFonts w:eastAsiaTheme="minorHAnsi"/>
          <w:kern w:val="2"/>
          <w:bdr w:val="none" w:sz="0" w:space="0" w:color="auto"/>
          <w14:ligatures w14:val="standardContextual"/>
        </w:rPr>
        <w:t xml:space="preserve">Soluția propusă, prin modificarea alin. (2) și introducerea a trei noi alineate, alineatele (3)-(5) la art.3¹ precum şi a unui alineat nou, alineatul 2¹, la art.30 al Legii petrolului nr. 238/2004, reprezintă o modalitate de menţinere în vigoare a acordului de concesiune petrolieră în situaţii care, în actuala reglementare, ar conduce la încetarea acordului petrolier, cu consecinţe majore atât </w:t>
      </w:r>
      <w:r w:rsidR="00DD540A" w:rsidRPr="00DD540A">
        <w:rPr>
          <w:rFonts w:eastAsiaTheme="minorHAnsi"/>
          <w:kern w:val="2"/>
          <w:bdr w:val="none" w:sz="0" w:space="0" w:color="auto"/>
          <w14:ligatures w14:val="standardContextual"/>
        </w:rPr>
        <w:lastRenderedPageBreak/>
        <w:t>pentru titularii de bună credinţă, care au investit în explorarea şi dezvoltarea perimetrului de concesiune petrolieră, cât şi pierderi semnificative la bugetul de stat.</w:t>
      </w:r>
    </w:p>
    <w:p w14:paraId="01AF8EB6" w14:textId="77777777" w:rsidR="00DD540A" w:rsidRPr="00DD540A" w:rsidRDefault="00DD540A" w:rsidP="00DD540A">
      <w:pPr>
        <w:ind w:firstLine="720"/>
        <w:jc w:val="both"/>
        <w:rPr>
          <w:rFonts w:eastAsiaTheme="minorHAnsi"/>
          <w:kern w:val="2"/>
          <w:bdr w:val="none" w:sz="0" w:space="0" w:color="auto"/>
          <w14:ligatures w14:val="standardContextual"/>
        </w:rPr>
      </w:pPr>
      <w:r w:rsidRPr="00DD540A">
        <w:rPr>
          <w:rFonts w:eastAsiaTheme="minorHAnsi"/>
          <w:kern w:val="2"/>
          <w:bdr w:val="none" w:sz="0" w:space="0" w:color="auto"/>
          <w14:ligatures w14:val="standardContextual"/>
        </w:rPr>
        <w:t>Prin eliminarea riscului de paralizie generat de blocajul derulării acordurilor petroliere, se asigură:</w:t>
      </w:r>
    </w:p>
    <w:p w14:paraId="47029969" w14:textId="77777777" w:rsidR="00DD540A" w:rsidRPr="00DD540A" w:rsidRDefault="00DD540A" w:rsidP="00DD540A">
      <w:pPr>
        <w:jc w:val="both"/>
        <w:rPr>
          <w:rFonts w:eastAsiaTheme="minorHAnsi"/>
          <w:kern w:val="2"/>
          <w:bdr w:val="none" w:sz="0" w:space="0" w:color="auto"/>
          <w14:ligatures w14:val="standardContextual"/>
        </w:rPr>
      </w:pPr>
      <w:r w:rsidRPr="00DD540A">
        <w:rPr>
          <w:rFonts w:eastAsiaTheme="minorHAnsi"/>
          <w:kern w:val="2"/>
          <w:bdr w:val="none" w:sz="0" w:space="0" w:color="auto"/>
          <w14:ligatures w14:val="standardContextual"/>
        </w:rPr>
        <w:t>1. Continuitatea operaţiunilor: Deblocarea rapidă a procesului de încheiere şi aprobare a actelor adiţionale permite executarea lucrărilor de explorare, dezvoltare şi exploatare, menţinând ritmul investiţional şi asigurând volume constante de producţie brută de petrol şi gaze naturale.</w:t>
      </w:r>
    </w:p>
    <w:p w14:paraId="49C41AF3" w14:textId="77777777" w:rsidR="00DD540A" w:rsidRPr="00DD540A" w:rsidRDefault="00DD540A" w:rsidP="00DD540A">
      <w:pPr>
        <w:jc w:val="both"/>
        <w:rPr>
          <w:rFonts w:eastAsiaTheme="minorHAnsi"/>
          <w:kern w:val="2"/>
          <w:bdr w:val="none" w:sz="0" w:space="0" w:color="auto"/>
          <w14:ligatures w14:val="standardContextual"/>
        </w:rPr>
      </w:pPr>
      <w:r w:rsidRPr="00DD540A">
        <w:rPr>
          <w:rFonts w:eastAsiaTheme="minorHAnsi"/>
          <w:kern w:val="2"/>
          <w:bdr w:val="none" w:sz="0" w:space="0" w:color="auto"/>
          <w14:ligatures w14:val="standardContextual"/>
        </w:rPr>
        <w:t>2. Securitatea energetică: Menţinerea continuităţii operaţionale este vitală pentru securitatea energetică naţională, asigurând resurse proprii şi reducând dependenţa de importuri.</w:t>
      </w:r>
    </w:p>
    <w:p w14:paraId="42F0E391" w14:textId="77777777" w:rsidR="00DD540A" w:rsidRDefault="00DD540A" w:rsidP="00DD540A">
      <w:pPr>
        <w:spacing w:after="240"/>
        <w:jc w:val="both"/>
        <w:rPr>
          <w:rFonts w:eastAsia="Times New Roman"/>
          <w:lang w:val="ro-RO"/>
        </w:rPr>
      </w:pPr>
      <w:r w:rsidRPr="00DD540A">
        <w:rPr>
          <w:rFonts w:eastAsiaTheme="minorHAnsi"/>
          <w:kern w:val="2"/>
          <w:bdr w:val="none" w:sz="0" w:space="0" w:color="auto"/>
          <w14:ligatures w14:val="standardContextual"/>
        </w:rPr>
        <w:t>3. Optimizarea tehnologică: Măsura facilitează implementarea rapidă a modificărilor necesare pentru transferul de tehnologie şi perfecţionarea profesională, sporind eficienţa valorificării resurselor naţionale.</w:t>
      </w:r>
      <w:r w:rsidR="00095C58" w:rsidRPr="00071E16">
        <w:rPr>
          <w:rFonts w:eastAsia="Times New Roman"/>
          <w:lang w:val="ro-RO"/>
        </w:rPr>
        <w:tab/>
      </w:r>
    </w:p>
    <w:p w14:paraId="19CF239C" w14:textId="67304C6D" w:rsidR="00095C58" w:rsidRPr="00071E16" w:rsidRDefault="00095C58" w:rsidP="00DD540A">
      <w:pPr>
        <w:ind w:firstLine="720"/>
        <w:jc w:val="both"/>
        <w:rPr>
          <w:rFonts w:eastAsia="Times New Roman"/>
          <w:lang w:val="ro-RO"/>
        </w:rPr>
      </w:pPr>
      <w:r w:rsidRPr="00071E16">
        <w:rPr>
          <w:rFonts w:eastAsia="Times New Roman"/>
          <w:lang w:val="ro-RO"/>
        </w:rPr>
        <w:t>Membrii Comisiei pentru politică externă au analizat textul documentului</w:t>
      </w:r>
      <w:r>
        <w:rPr>
          <w:rFonts w:eastAsia="Times New Roman"/>
          <w:lang w:val="ro-RO"/>
        </w:rPr>
        <w:t xml:space="preserve"> </w:t>
      </w:r>
      <w:r w:rsidRPr="00071E16">
        <w:rPr>
          <w:rFonts w:eastAsia="Times New Roman"/>
          <w:lang w:val="ro-RO"/>
        </w:rPr>
        <w:t xml:space="preserve">și au hotărât, cu unanimitate de voturi, să adopte un </w:t>
      </w:r>
      <w:r>
        <w:rPr>
          <w:rFonts w:eastAsia="Times New Roman"/>
          <w:lang w:val="ro-RO"/>
        </w:rPr>
        <w:t>aviz favorabil,</w:t>
      </w:r>
      <w:r w:rsidRPr="00071E16">
        <w:rPr>
          <w:rFonts w:eastAsia="Times New Roman"/>
          <w:lang w:val="ro-RO"/>
        </w:rPr>
        <w:t xml:space="preserve"> </w:t>
      </w:r>
      <w:r>
        <w:rPr>
          <w:rFonts w:eastAsia="Times New Roman"/>
          <w:lang w:val="ro-RO"/>
        </w:rPr>
        <w:t>fără</w:t>
      </w:r>
      <w:r w:rsidRPr="00071E16">
        <w:rPr>
          <w:rFonts w:eastAsia="Times New Roman"/>
          <w:lang w:val="ro-RO"/>
        </w:rPr>
        <w:t xml:space="preserve"> amendamente.</w:t>
      </w:r>
    </w:p>
    <w:p w14:paraId="3A95E752" w14:textId="77777777" w:rsidR="00095C58" w:rsidRPr="00071E16" w:rsidRDefault="00095C58" w:rsidP="00095C5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dna Elisabeta David, având funcția de director general.</w:t>
      </w:r>
    </w:p>
    <w:p w14:paraId="6C741A88" w14:textId="77777777" w:rsidR="007F1DA4" w:rsidRPr="00071E16" w:rsidRDefault="007F1DA4" w:rsidP="007F1DA4">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Pr>
          <w:rFonts w:ascii="Times New Roman" w:eastAsia="Times New Roman" w:hAnsi="Times New Roman" w:cs="Times New Roman"/>
          <w:b/>
          <w:color w:val="000000" w:themeColor="text1"/>
          <w:sz w:val="24"/>
          <w:szCs w:val="24"/>
          <w:lang w:val="ro-RO"/>
        </w:rPr>
        <w:t>531</w:t>
      </w:r>
      <w:r w:rsidRPr="00071E16">
        <w:rPr>
          <w:rFonts w:ascii="Times New Roman" w:eastAsia="Times New Roman" w:hAnsi="Times New Roman" w:cs="Times New Roman"/>
          <w:b/>
          <w:color w:val="000000" w:themeColor="text1"/>
          <w:sz w:val="24"/>
          <w:szCs w:val="24"/>
          <w:lang w:val="ro-RO"/>
        </w:rPr>
        <w:t>/202</w:t>
      </w:r>
      <w:r>
        <w:rPr>
          <w:rFonts w:ascii="Times New Roman" w:eastAsia="Times New Roman" w:hAnsi="Times New Roman" w:cs="Times New Roman"/>
          <w:b/>
          <w:color w:val="000000" w:themeColor="text1"/>
          <w:sz w:val="24"/>
          <w:szCs w:val="24"/>
          <w:lang w:val="ro-RO"/>
        </w:rPr>
        <w:t>3</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Pr="00FB473B">
        <w:rPr>
          <w:rFonts w:ascii="Times New Roman" w:hAnsi="Times New Roman" w:cs="Times New Roman"/>
          <w:b/>
          <w:sz w:val="24"/>
          <w:szCs w:val="24"/>
          <w:lang w:val="ro-RO"/>
        </w:rPr>
        <w:t>Propunere legislativă pentru modificarea Legii nr.223/2015 privind pensiile militare de stat și a Legii nr.282/2023 pentru modificarea și completarea unor acte normative din domeniul pensiilor de serviciu și a Legii nr.227/2015 privind Codul fiscal</w:t>
      </w:r>
      <w:r>
        <w:rPr>
          <w:rFonts w:ascii="Times New Roman" w:hAnsi="Times New Roman" w:cs="Times New Roman"/>
          <w:b/>
          <w:sz w:val="24"/>
          <w:szCs w:val="24"/>
          <w:lang w:val="ro-RO"/>
        </w:rPr>
        <w:t>.</w:t>
      </w:r>
    </w:p>
    <w:p w14:paraId="3D2ACA18" w14:textId="77777777" w:rsidR="007F1DA4" w:rsidRPr="00071E16" w:rsidRDefault="007F1DA4" w:rsidP="007F1DA4">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sidRPr="00F1641B">
        <w:rPr>
          <w:rFonts w:ascii="Times New Roman" w:hAnsi="Times New Roman" w:cs="Times New Roman"/>
          <w:bCs/>
          <w:sz w:val="24"/>
          <w:szCs w:val="24"/>
          <w:lang w:val="ro-RO"/>
        </w:rPr>
        <w:t>Constantinescu Rodica - senator AUR; Dumitrescu Cristina-Gabriela - senator AUR; Barstan Tiberiu-Claudiu - deputat AUR; Biro Daniel-Răzvan - deputat AUR; Bruynseels Ramona-Ioana - deputat AUR; Butură Cristina-Irina - deputat AUR; Chiriţă Răzvan-Mirel - deputat POT; Ciornei Daniel-Cătălin - deputat AUR; Coman Dragoş-Florin - deputat AUR; Doboş Elena - deputat AUR; Enache Diana - deputat AUR; Enache Mihai-Adrian - deputat AUR; Florea Gabriel-Florinel - deputat AUR; Gheorghe Ionel - deputat AUR; Grofu Daniel - deputat POT; Iosub Cosmin-Teodor - deputat AUR; Mitrea Dumitrina - deputat AUR; Muncaciu Sorin-Titus - deputat AUR; Nicolae Dan-Mihai - deputat POT; Paraschiv Ciprian-Constantin - deputat AUR; Păunescu Silviu-Titus - deputat AUR; Popa Cristian-Alexandru - deputat POT; Porumboiu Gabriela - deputat POT; Puşcaşu Lucian-Florin - deputat AUR; Simion George-Nicolae - deputat AUR.</w:t>
      </w:r>
    </w:p>
    <w:p w14:paraId="2D97C9C5" w14:textId="77777777" w:rsidR="007F1DA4" w:rsidRPr="00071E16" w:rsidRDefault="007F1DA4" w:rsidP="007F1DA4">
      <w:pPr>
        <w:pStyle w:val="Corp"/>
        <w:tabs>
          <w:tab w:val="left" w:pos="567"/>
        </w:tabs>
        <w:spacing w:before="120" w:after="0" w:line="240" w:lineRule="auto"/>
        <w:jc w:val="both"/>
        <w:rPr>
          <w:rFonts w:ascii="Times New Roman" w:hAnsi="Times New Roman" w:cs="Times New Roman"/>
          <w:b/>
          <w:sz w:val="24"/>
          <w:szCs w:val="24"/>
          <w:lang w:val="ro-RO"/>
        </w:rPr>
      </w:pPr>
    </w:p>
    <w:p w14:paraId="3324563F" w14:textId="77777777" w:rsidR="007F1DA4" w:rsidRDefault="007F1DA4" w:rsidP="007F1DA4">
      <w:pPr>
        <w:ind w:firstLine="720"/>
        <w:jc w:val="both"/>
      </w:pPr>
      <w:r w:rsidRPr="0081121A">
        <w:t>Propunerea legislativă are ca obiect de reglementare modificarea Legii nr. 223/2015 privind pensiile militare de stat, cu modificările și completările ulterioare şi a Legii nr. 282/2023 pentru modificarea completarea unor acte nomative din domeniul pensiilor de serviciu și a Legii nr. 227/2015 privind Codul fiscal.</w:t>
      </w:r>
    </w:p>
    <w:p w14:paraId="140D73E6" w14:textId="77777777" w:rsidR="007F1DA4" w:rsidRPr="00071E16" w:rsidRDefault="007F1DA4" w:rsidP="007F1DA4">
      <w:pPr>
        <w:ind w:firstLine="720"/>
        <w:jc w:val="both"/>
        <w:rPr>
          <w:lang w:val="ro-RO"/>
        </w:rPr>
      </w:pPr>
      <w:r>
        <w:tab/>
      </w:r>
    </w:p>
    <w:p w14:paraId="6323FD31" w14:textId="77777777" w:rsidR="007F1DA4" w:rsidRPr="00071E16" w:rsidRDefault="007F1DA4" w:rsidP="007F1DA4">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76B53B4E" w14:textId="77777777" w:rsidR="007F1DA4" w:rsidRPr="0081121A" w:rsidRDefault="007F1DA4" w:rsidP="007F1DA4">
      <w:pPr>
        <w:jc w:val="both"/>
        <w:rPr>
          <w:rFonts w:eastAsiaTheme="minorHAnsi"/>
          <w:kern w:val="2"/>
          <w:bdr w:val="none" w:sz="0" w:space="0" w:color="auto"/>
          <w14:ligatures w14:val="standardContextual"/>
        </w:rPr>
      </w:pPr>
      <w:r w:rsidRPr="00071E16">
        <w:tab/>
      </w:r>
      <w:r w:rsidRPr="0081121A">
        <w:rPr>
          <w:rFonts w:eastAsiaTheme="minorHAnsi"/>
          <w:kern w:val="2"/>
          <w:bdr w:val="none" w:sz="0" w:space="0" w:color="auto"/>
          <w14:ligatures w14:val="standardContextual"/>
        </w:rPr>
        <w:t xml:space="preserve">Prin mecanismele actului normativ sus-menţionat, s-au creat premisele, la data intrării în vigoare a acestuia, ca toate categoriile de pensionari militari, atât cele trecute în rezervă până la data de 01.01.2016, cât şi cele trecute în rezervă după această dată, să beneficieze de pensii aproximativ egale, pentru aceleaşi funcţji îndeplinite, aceleaşi grade militare/profesionale avute, în condiţiile în care au realizat aceleaşi tipuri de venituri salariale în timpul carierei profesionale active. </w:t>
      </w:r>
    </w:p>
    <w:p w14:paraId="21B11EDE" w14:textId="77777777" w:rsidR="007F1DA4" w:rsidRPr="00B04EA7" w:rsidRDefault="007F1DA4" w:rsidP="007F1DA4">
      <w:pPr>
        <w:jc w:val="both"/>
        <w:rPr>
          <w:rFonts w:eastAsiaTheme="minorHAnsi"/>
          <w:kern w:val="2"/>
          <w:bdr w:val="none" w:sz="0" w:space="0" w:color="auto"/>
          <w14:ligatures w14:val="standardContextual"/>
        </w:rPr>
      </w:pPr>
      <w:r w:rsidRPr="0081121A">
        <w:rPr>
          <w:rFonts w:eastAsiaTheme="minorHAnsi"/>
          <w:kern w:val="2"/>
          <w:bdr w:val="none" w:sz="0" w:space="0" w:color="auto"/>
          <w14:ligatures w14:val="standardContextual"/>
        </w:rPr>
        <w:lastRenderedPageBreak/>
        <w:t>De asemenea, au fost create atât mecanismul de actualizare a pensiilor militare de stat, în raport cu creşterea valorii soldelor/salariilor de funcţie şi/sau soldelor/salariilor de grad militar/profesional, pentru personalul în activitate, cât şi cel al indexării cuantumului pensiilor militare de stat în raport cu rata inflaţiei şi a creşterii câştigului salarial mediu brut anual, modalităţi de majorare a pensiilor militare de stat ce nu puteau avea loc concomitent în acelaşi an calendaristic.</w:t>
      </w:r>
    </w:p>
    <w:p w14:paraId="22F9E41F" w14:textId="77777777" w:rsidR="007F1DA4" w:rsidRPr="00071E16" w:rsidRDefault="007F1DA4" w:rsidP="007F1DA4">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 xml:space="preserve">Membrii Comisiei pentru politică externă au analizat textul </w:t>
      </w:r>
      <w:r w:rsidRPr="00C61824">
        <w:rPr>
          <w:rFonts w:ascii="Times New Roman" w:eastAsia="Times New Roman" w:hAnsi="Times New Roman" w:cs="Times New Roman"/>
          <w:sz w:val="24"/>
          <w:szCs w:val="24"/>
          <w:lang w:val="ro-RO"/>
        </w:rPr>
        <w:t xml:space="preserve">legii </w:t>
      </w:r>
      <w:r w:rsidRPr="00071E16">
        <w:rPr>
          <w:rFonts w:ascii="Times New Roman" w:eastAsia="Times New Roman" w:hAnsi="Times New Roman" w:cs="Times New Roman"/>
          <w:sz w:val="24"/>
          <w:szCs w:val="24"/>
          <w:lang w:val="ro-RO"/>
        </w:rPr>
        <w:t xml:space="preserve">și au hotărât, cu unanimitate de voturi, să adopte un </w:t>
      </w:r>
      <w:r>
        <w:rPr>
          <w:rFonts w:ascii="Times New Roman" w:eastAsia="Times New Roman" w:hAnsi="Times New Roman" w:cs="Times New Roman"/>
          <w:sz w:val="24"/>
          <w:szCs w:val="24"/>
          <w:lang w:val="ro-RO"/>
        </w:rPr>
        <w:t>aviz negativ.</w:t>
      </w:r>
    </w:p>
    <w:p w14:paraId="67B138F3" w14:textId="77777777" w:rsidR="007F1DA4" w:rsidRPr="00071E16" w:rsidRDefault="007F1DA4" w:rsidP="007F1DA4">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dna Elisabeta David, având funcția de director general.</w:t>
      </w:r>
    </w:p>
    <w:p w14:paraId="3E4C51FF" w14:textId="7861C621" w:rsidR="002367E3" w:rsidRPr="00071E16" w:rsidRDefault="002367E3" w:rsidP="002367E3">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bookmarkStart w:id="4" w:name="_Hlk216272305"/>
      <w:r w:rsidRPr="00071E16">
        <w:rPr>
          <w:rFonts w:ascii="Times New Roman" w:eastAsia="Times New Roman" w:hAnsi="Times New Roman" w:cs="Times New Roman"/>
          <w:b/>
          <w:color w:val="000000" w:themeColor="text1"/>
          <w:sz w:val="24"/>
          <w:szCs w:val="24"/>
          <w:lang w:val="ro-RO"/>
        </w:rPr>
        <w:t>L</w:t>
      </w:r>
      <w:r w:rsidR="002B78ED">
        <w:rPr>
          <w:rFonts w:ascii="Times New Roman" w:eastAsia="Times New Roman" w:hAnsi="Times New Roman" w:cs="Times New Roman"/>
          <w:b/>
          <w:color w:val="000000" w:themeColor="text1"/>
          <w:sz w:val="24"/>
          <w:szCs w:val="24"/>
          <w:lang w:val="ro-RO"/>
        </w:rPr>
        <w:t>551</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2B78ED" w:rsidRPr="002B78ED">
        <w:rPr>
          <w:rFonts w:ascii="Times New Roman" w:hAnsi="Times New Roman" w:cs="Times New Roman"/>
          <w:b/>
          <w:sz w:val="24"/>
          <w:szCs w:val="24"/>
          <w:lang w:val="ro-RO"/>
        </w:rPr>
        <w:t>Proiect de lege pentru ratificarea Acordului între Guvernul României şi Cabinetul de Miniştri al Ucrainei privind cooperarea în domeniul prevenirii, limitării şi înlăturării efectelor situaţiilor de urgenţă, semnat la Bucureşti la 18 octombrie 2024</w:t>
      </w:r>
      <w:r w:rsidR="00296E89">
        <w:rPr>
          <w:rFonts w:ascii="Times New Roman" w:hAnsi="Times New Roman" w:cs="Times New Roman"/>
          <w:b/>
          <w:sz w:val="24"/>
          <w:szCs w:val="24"/>
          <w:lang w:val="ro-RO"/>
        </w:rPr>
        <w:t>.</w:t>
      </w:r>
    </w:p>
    <w:p w14:paraId="10F2662D" w14:textId="2FCBF307" w:rsidR="002367E3" w:rsidRPr="00071E16" w:rsidRDefault="002367E3" w:rsidP="002367E3">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817A94">
        <w:rPr>
          <w:rFonts w:ascii="Times New Roman" w:hAnsi="Times New Roman" w:cs="Times New Roman"/>
          <w:b/>
          <w:sz w:val="24"/>
          <w:szCs w:val="24"/>
          <w:lang w:val="ro-RO"/>
        </w:rPr>
        <w:t>Guvernul României</w:t>
      </w:r>
    </w:p>
    <w:p w14:paraId="3E468B37" w14:textId="77777777" w:rsidR="002367E3" w:rsidRPr="00071E16" w:rsidRDefault="002367E3" w:rsidP="002367E3">
      <w:pPr>
        <w:pStyle w:val="Corp"/>
        <w:tabs>
          <w:tab w:val="left" w:pos="567"/>
        </w:tabs>
        <w:spacing w:before="120" w:after="0" w:line="240" w:lineRule="auto"/>
        <w:jc w:val="both"/>
        <w:rPr>
          <w:rFonts w:ascii="Times New Roman" w:hAnsi="Times New Roman" w:cs="Times New Roman"/>
          <w:b/>
          <w:sz w:val="24"/>
          <w:szCs w:val="24"/>
          <w:lang w:val="ro-RO"/>
        </w:rPr>
      </w:pPr>
    </w:p>
    <w:p w14:paraId="12123913" w14:textId="3F787734" w:rsidR="00296E89" w:rsidRDefault="004C4D71" w:rsidP="004C4D71">
      <w:pPr>
        <w:ind w:firstLine="720"/>
        <w:jc w:val="both"/>
      </w:pPr>
      <w:r w:rsidRPr="004C4D71">
        <w:t>Negocierile pentru încheierea unui document de cooperare între cele două Părţi în domeniul situaţiilor de urgenţă au fost demarate în 2004, în baza Memorandumului nr. 193342/11.05.2004 cu tema: Negocierea Acordului între Guvernul României şi Cabinetul de Miniştri al Ucrainei privind cooperarea în domeniul prevenirii, limitării şi înlăturării efectelor dezastrelor. Acestea s-au realizat destul de anevoios, pe o perioadă foarte lungă de timp, de aproape 20 de ani, în cadrul mai multor runde de negocieri.</w:t>
      </w:r>
      <w:r>
        <w:tab/>
      </w:r>
    </w:p>
    <w:p w14:paraId="0E996FD1" w14:textId="77777777" w:rsidR="004C4D71" w:rsidRPr="00071E16" w:rsidRDefault="004C4D71" w:rsidP="004C4D71">
      <w:pPr>
        <w:ind w:firstLine="720"/>
        <w:jc w:val="both"/>
        <w:rPr>
          <w:lang w:val="ro-RO"/>
        </w:rPr>
      </w:pPr>
    </w:p>
    <w:p w14:paraId="55A3318A" w14:textId="77777777" w:rsidR="002367E3" w:rsidRPr="00071E16" w:rsidRDefault="002367E3" w:rsidP="002367E3">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48D6EB0B" w14:textId="77777777" w:rsidR="004C4D71" w:rsidRPr="004C4D71" w:rsidRDefault="002367E3" w:rsidP="004C4D71">
      <w:pPr>
        <w:jc w:val="both"/>
        <w:rPr>
          <w:rFonts w:eastAsiaTheme="minorHAnsi"/>
          <w:kern w:val="2"/>
          <w:bdr w:val="none" w:sz="0" w:space="0" w:color="auto"/>
          <w14:ligatures w14:val="standardContextual"/>
        </w:rPr>
      </w:pPr>
      <w:r w:rsidRPr="00071E16">
        <w:tab/>
      </w:r>
      <w:r w:rsidR="004C4D71" w:rsidRPr="004C4D71">
        <w:rPr>
          <w:rFonts w:eastAsiaTheme="minorHAnsi"/>
          <w:kern w:val="2"/>
          <w:bdr w:val="none" w:sz="0" w:space="0" w:color="auto"/>
          <w14:ligatures w14:val="standardContextual"/>
        </w:rPr>
        <w:t>Formele de cooperare cuprind:</w:t>
      </w:r>
    </w:p>
    <w:p w14:paraId="7803E4E7" w14:textId="77777777" w:rsidR="004C4D71" w:rsidRPr="004C4D71" w:rsidRDefault="004C4D71" w:rsidP="004C4D71">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a)promovarea de către instituţiile de specialitate din cele două state a unor proiecte comune în domeniul prognozării, prevenirii, evaluării, limitării şi înlăturării efectelor situaţiilor de ugenţă;</w:t>
      </w:r>
    </w:p>
    <w:p w14:paraId="48715EF0" w14:textId="77777777" w:rsidR="004C4D71" w:rsidRPr="004C4D71" w:rsidRDefault="004C4D71" w:rsidP="004C4D71">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b) organizarea de conferinţe, vizite de studiu, programe ştiinţifice, cursuri de specialitate, schimburi de experienţă, exerciţii şi aplicații practice comune, prin cooperarea Autorităţilor Competente și a instituţiilor relevante din statele Părţilor;</w:t>
      </w:r>
    </w:p>
    <w:p w14:paraId="4054021E" w14:textId="77777777" w:rsidR="004C4D71" w:rsidRPr="004C4D71" w:rsidRDefault="004C4D71" w:rsidP="004C4D71">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c) schimbul de informaţii cu privire la sursele de risc ce pot genera situaţii de urgenţă, în special cele care generează consecinţe transfrontaliere, care afectează teritoriul statului celeilalte Pări;</w:t>
      </w:r>
    </w:p>
    <w:p w14:paraId="70B06F0B" w14:textId="71E20612" w:rsidR="002367E3" w:rsidRPr="00CD605F" w:rsidRDefault="004C4D71" w:rsidP="004C4D71">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d) schimbul de documentaţie privind rezultatele cercetării ştiinţifice și a concluziilor investigaţiilor referitoare la cauzele situațiilor de urgenţă, evaluarea efectelor acestora şi măsurile de protecţie necesare</w:t>
      </w:r>
    </w:p>
    <w:p w14:paraId="3BA0F920" w14:textId="7AFD8123" w:rsidR="002367E3" w:rsidRPr="00071E16" w:rsidRDefault="002367E3" w:rsidP="002367E3">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Membrii Comisiei pentru politică externă au analizat textul documentului</w:t>
      </w:r>
      <w:r>
        <w:rPr>
          <w:rFonts w:ascii="Times New Roman" w:eastAsia="Times New Roman" w:hAnsi="Times New Roman" w:cs="Times New Roman"/>
          <w:sz w:val="24"/>
          <w:szCs w:val="24"/>
          <w:lang w:val="ro-RO"/>
        </w:rPr>
        <w:t xml:space="preserve"> </w:t>
      </w:r>
      <w:r w:rsidRPr="00071E16">
        <w:rPr>
          <w:rFonts w:ascii="Times New Roman" w:eastAsia="Times New Roman" w:hAnsi="Times New Roman" w:cs="Times New Roman"/>
          <w:sz w:val="24"/>
          <w:szCs w:val="24"/>
          <w:lang w:val="ro-RO"/>
        </w:rPr>
        <w:t xml:space="preserve">și au hotărât, cu unanimitate de voturi, să adopte un </w:t>
      </w:r>
      <w:r w:rsidR="002B78ED">
        <w:rPr>
          <w:rFonts w:ascii="Times New Roman" w:eastAsia="Times New Roman" w:hAnsi="Times New Roman" w:cs="Times New Roman"/>
          <w:sz w:val="24"/>
          <w:szCs w:val="24"/>
          <w:lang w:val="ro-RO"/>
        </w:rPr>
        <w:t>raport comun de admitere</w:t>
      </w:r>
      <w:r>
        <w:rPr>
          <w:rFonts w:ascii="Times New Roman" w:eastAsia="Times New Roman" w:hAnsi="Times New Roman" w:cs="Times New Roman"/>
          <w:sz w:val="24"/>
          <w:szCs w:val="24"/>
          <w:lang w:val="ro-RO"/>
        </w:rPr>
        <w:t>,</w:t>
      </w:r>
      <w:r w:rsidRPr="00071E1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fără</w:t>
      </w:r>
      <w:r w:rsidRPr="00071E16">
        <w:rPr>
          <w:rFonts w:ascii="Times New Roman" w:eastAsia="Times New Roman" w:hAnsi="Times New Roman" w:cs="Times New Roman"/>
          <w:sz w:val="24"/>
          <w:szCs w:val="24"/>
          <w:lang w:val="ro-RO"/>
        </w:rPr>
        <w:t xml:space="preserve"> amendamente.</w:t>
      </w:r>
    </w:p>
    <w:p w14:paraId="76364E64" w14:textId="7ADAAA49" w:rsidR="00095C58" w:rsidRDefault="002367E3" w:rsidP="002367E3">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dna Elisabeta David, având funcția de director general.</w:t>
      </w:r>
    </w:p>
    <w:bookmarkEnd w:id="4"/>
    <w:p w14:paraId="20F568C0" w14:textId="77777777" w:rsidR="007F1DA4" w:rsidRPr="00071E16" w:rsidRDefault="007F1DA4" w:rsidP="007F1DA4">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Pr>
          <w:rFonts w:ascii="Times New Roman" w:eastAsia="Times New Roman" w:hAnsi="Times New Roman" w:cs="Times New Roman"/>
          <w:b/>
          <w:color w:val="000000" w:themeColor="text1"/>
          <w:sz w:val="24"/>
          <w:szCs w:val="24"/>
          <w:lang w:val="ro-RO"/>
        </w:rPr>
        <w:t>531</w:t>
      </w:r>
      <w:r w:rsidRPr="00071E16">
        <w:rPr>
          <w:rFonts w:ascii="Times New Roman" w:eastAsia="Times New Roman" w:hAnsi="Times New Roman" w:cs="Times New Roman"/>
          <w:b/>
          <w:color w:val="000000" w:themeColor="text1"/>
          <w:sz w:val="24"/>
          <w:szCs w:val="24"/>
          <w:lang w:val="ro-RO"/>
        </w:rPr>
        <w:t>/202</w:t>
      </w:r>
      <w:r>
        <w:rPr>
          <w:rFonts w:ascii="Times New Roman" w:eastAsia="Times New Roman" w:hAnsi="Times New Roman" w:cs="Times New Roman"/>
          <w:b/>
          <w:color w:val="000000" w:themeColor="text1"/>
          <w:sz w:val="24"/>
          <w:szCs w:val="24"/>
          <w:lang w:val="ro-RO"/>
        </w:rPr>
        <w:t>3</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Pr="00FB473B">
        <w:rPr>
          <w:rFonts w:ascii="Times New Roman" w:hAnsi="Times New Roman" w:cs="Times New Roman"/>
          <w:b/>
          <w:sz w:val="24"/>
          <w:szCs w:val="24"/>
          <w:lang w:val="ro-RO"/>
        </w:rPr>
        <w:t xml:space="preserve">Propunere legislativă pentru modificarea Legii nr.223/2015 privind pensiile militare de stat și a Legii nr.282/2023 pentru modificarea și completarea </w:t>
      </w:r>
      <w:r w:rsidRPr="00FB473B">
        <w:rPr>
          <w:rFonts w:ascii="Times New Roman" w:hAnsi="Times New Roman" w:cs="Times New Roman"/>
          <w:b/>
          <w:sz w:val="24"/>
          <w:szCs w:val="24"/>
          <w:lang w:val="ro-RO"/>
        </w:rPr>
        <w:lastRenderedPageBreak/>
        <w:t>unor acte normative din domeniul pensiilor de serviciu și a Legii nr.227/2015 privind Codul fiscal</w:t>
      </w:r>
      <w:r>
        <w:rPr>
          <w:rFonts w:ascii="Times New Roman" w:hAnsi="Times New Roman" w:cs="Times New Roman"/>
          <w:b/>
          <w:sz w:val="24"/>
          <w:szCs w:val="24"/>
          <w:lang w:val="ro-RO"/>
        </w:rPr>
        <w:t>.</w:t>
      </w:r>
    </w:p>
    <w:p w14:paraId="01C04CEB" w14:textId="77777777" w:rsidR="007F1DA4" w:rsidRPr="00071E16" w:rsidRDefault="007F1DA4" w:rsidP="007F1DA4">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sidRPr="00F1641B">
        <w:rPr>
          <w:rFonts w:ascii="Times New Roman" w:hAnsi="Times New Roman" w:cs="Times New Roman"/>
          <w:bCs/>
          <w:sz w:val="24"/>
          <w:szCs w:val="24"/>
          <w:lang w:val="ro-RO"/>
        </w:rPr>
        <w:t>Constantinescu Rodica - senator AUR; Dumitrescu Cristina-Gabriela - senator AUR; Barstan Tiberiu-Claudiu - deputat AUR; Biro Daniel-Răzvan - deputat AUR; Bruynseels Ramona-Ioana - deputat AUR; Butură Cristina-Irina - deputat AUR; Chiriţă Răzvan-Mirel - deputat POT; Ciornei Daniel-Cătălin - deputat AUR; Coman Dragoş-Florin - deputat AUR; Doboş Elena - deputat AUR; Enache Diana - deputat AUR; Enache Mihai-Adrian - deputat AUR; Florea Gabriel-Florinel - deputat AUR; Gheorghe Ionel - deputat AUR; Grofu Daniel - deputat POT; Iosub Cosmin-Teodor - deputat AUR; Mitrea Dumitrina - deputat AUR; Muncaciu Sorin-Titus - deputat AUR; Nicolae Dan-Mihai - deputat POT; Paraschiv Ciprian-Constantin - deputat AUR; Păunescu Silviu-Titus - deputat AUR; Popa Cristian-Alexandru - deputat POT; Porumboiu Gabriela - deputat POT; Puşcaşu Lucian-Florin - deputat AUR; Simion George-Nicolae - deputat AUR.</w:t>
      </w:r>
    </w:p>
    <w:p w14:paraId="49538B91" w14:textId="77777777" w:rsidR="007F1DA4" w:rsidRPr="00071E16" w:rsidRDefault="007F1DA4" w:rsidP="007F1DA4">
      <w:pPr>
        <w:pStyle w:val="Corp"/>
        <w:tabs>
          <w:tab w:val="left" w:pos="567"/>
        </w:tabs>
        <w:spacing w:before="120" w:after="0" w:line="240" w:lineRule="auto"/>
        <w:jc w:val="both"/>
        <w:rPr>
          <w:rFonts w:ascii="Times New Roman" w:hAnsi="Times New Roman" w:cs="Times New Roman"/>
          <w:b/>
          <w:sz w:val="24"/>
          <w:szCs w:val="24"/>
          <w:lang w:val="ro-RO"/>
        </w:rPr>
      </w:pPr>
    </w:p>
    <w:p w14:paraId="251E1C5C" w14:textId="77777777" w:rsidR="007F1DA4" w:rsidRDefault="007F1DA4" w:rsidP="007F1DA4">
      <w:pPr>
        <w:ind w:firstLine="720"/>
        <w:jc w:val="both"/>
      </w:pPr>
      <w:r w:rsidRPr="0081121A">
        <w:t>Propunerea legislativă are ca obiect de reglementare modificarea Legii nr. 223/2015 privind pensiile militare de stat, cu modificările și completările ulterioare şi a Legii nr. 282/2023 pentru modificarea completarea unor acte nomative din domeniul pensiilor de serviciu și a Legii nr. 227/2015 privind Codul fiscal.</w:t>
      </w:r>
    </w:p>
    <w:p w14:paraId="0F32C85F" w14:textId="77777777" w:rsidR="007F1DA4" w:rsidRPr="00071E16" w:rsidRDefault="007F1DA4" w:rsidP="007F1DA4">
      <w:pPr>
        <w:ind w:firstLine="720"/>
        <w:jc w:val="both"/>
        <w:rPr>
          <w:lang w:val="ro-RO"/>
        </w:rPr>
      </w:pPr>
      <w:r>
        <w:tab/>
      </w:r>
    </w:p>
    <w:p w14:paraId="2A3D9AE9" w14:textId="77777777" w:rsidR="007F1DA4" w:rsidRPr="00071E16" w:rsidRDefault="007F1DA4" w:rsidP="007F1DA4">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186CB18B" w14:textId="77777777" w:rsidR="007F1DA4" w:rsidRPr="0081121A" w:rsidRDefault="007F1DA4" w:rsidP="007F1DA4">
      <w:pPr>
        <w:jc w:val="both"/>
        <w:rPr>
          <w:rFonts w:eastAsiaTheme="minorHAnsi"/>
          <w:kern w:val="2"/>
          <w:bdr w:val="none" w:sz="0" w:space="0" w:color="auto"/>
          <w14:ligatures w14:val="standardContextual"/>
        </w:rPr>
      </w:pPr>
      <w:r w:rsidRPr="00071E16">
        <w:tab/>
      </w:r>
      <w:r w:rsidRPr="0081121A">
        <w:rPr>
          <w:rFonts w:eastAsiaTheme="minorHAnsi"/>
          <w:kern w:val="2"/>
          <w:bdr w:val="none" w:sz="0" w:space="0" w:color="auto"/>
          <w14:ligatures w14:val="standardContextual"/>
        </w:rPr>
        <w:t xml:space="preserve">Prin mecanismele actului normativ sus-menţionat, s-au creat premisele, la data intrării în vigoare a acestuia, ca toate categoriile de pensionari militari, atât cele trecute în rezervă până la data de 01.01.2016, cât şi cele trecute în rezervă după această dată, să beneficieze de pensii aproximativ egale, pentru aceleaşi funcţji îndeplinite, aceleaşi grade militare/profesionale avute, în condiţiile în care au realizat aceleaşi tipuri de venituri salariale în timpul carierei profesionale active. </w:t>
      </w:r>
    </w:p>
    <w:p w14:paraId="1CE3CD42" w14:textId="77777777" w:rsidR="007F1DA4" w:rsidRPr="00B04EA7" w:rsidRDefault="007F1DA4" w:rsidP="007F1DA4">
      <w:pPr>
        <w:jc w:val="both"/>
        <w:rPr>
          <w:rFonts w:eastAsiaTheme="minorHAnsi"/>
          <w:kern w:val="2"/>
          <w:bdr w:val="none" w:sz="0" w:space="0" w:color="auto"/>
          <w14:ligatures w14:val="standardContextual"/>
        </w:rPr>
      </w:pPr>
      <w:r w:rsidRPr="0081121A">
        <w:rPr>
          <w:rFonts w:eastAsiaTheme="minorHAnsi"/>
          <w:kern w:val="2"/>
          <w:bdr w:val="none" w:sz="0" w:space="0" w:color="auto"/>
          <w14:ligatures w14:val="standardContextual"/>
        </w:rPr>
        <w:t>De asemenea, au fost create atât mecanismul de actualizare a pensiilor militare de stat, în raport cu creşterea valorii soldelor/salariilor de funcţie şi/sau soldelor/salariilor de grad militar/profesional, pentru personalul în activitate, cât şi cel al indexării cuantumului pensiilor militare de stat în raport cu rata inflaţiei şi a creşterii câştigului salarial mediu brut anual, modalităţi de majorare a pensiilor militare de stat ce nu puteau avea loc concomitent în acelaşi an calendaristic.</w:t>
      </w:r>
    </w:p>
    <w:p w14:paraId="6A461372" w14:textId="77777777" w:rsidR="007F1DA4" w:rsidRPr="00071E16" w:rsidRDefault="007F1DA4" w:rsidP="007F1DA4">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 xml:space="preserve">Membrii Comisiei pentru politică externă au analizat textul </w:t>
      </w:r>
      <w:r w:rsidRPr="00C61824">
        <w:rPr>
          <w:rFonts w:ascii="Times New Roman" w:eastAsia="Times New Roman" w:hAnsi="Times New Roman" w:cs="Times New Roman"/>
          <w:sz w:val="24"/>
          <w:szCs w:val="24"/>
          <w:lang w:val="ro-RO"/>
        </w:rPr>
        <w:t xml:space="preserve">legii </w:t>
      </w:r>
      <w:r w:rsidRPr="00071E16">
        <w:rPr>
          <w:rFonts w:ascii="Times New Roman" w:eastAsia="Times New Roman" w:hAnsi="Times New Roman" w:cs="Times New Roman"/>
          <w:sz w:val="24"/>
          <w:szCs w:val="24"/>
          <w:lang w:val="ro-RO"/>
        </w:rPr>
        <w:t xml:space="preserve">și au hotărât, cu unanimitate de voturi, să adopte un </w:t>
      </w:r>
      <w:r>
        <w:rPr>
          <w:rFonts w:ascii="Times New Roman" w:eastAsia="Times New Roman" w:hAnsi="Times New Roman" w:cs="Times New Roman"/>
          <w:sz w:val="24"/>
          <w:szCs w:val="24"/>
          <w:lang w:val="ro-RO"/>
        </w:rPr>
        <w:t>aviz negativ.</w:t>
      </w:r>
    </w:p>
    <w:p w14:paraId="1CE9B37D" w14:textId="2D13BDB1" w:rsidR="007F1DA4" w:rsidRDefault="007F1DA4" w:rsidP="007F1DA4">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dna Elisabeta David, având funcția de director general.</w:t>
      </w:r>
    </w:p>
    <w:p w14:paraId="6608AA02" w14:textId="77777777" w:rsidR="006277FA" w:rsidRPr="00071E16" w:rsidRDefault="006277FA" w:rsidP="006277FA">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Pr>
          <w:rFonts w:ascii="Times New Roman" w:eastAsia="Times New Roman" w:hAnsi="Times New Roman" w:cs="Times New Roman"/>
          <w:b/>
          <w:color w:val="000000" w:themeColor="text1"/>
          <w:sz w:val="24"/>
          <w:szCs w:val="24"/>
          <w:lang w:val="ro-RO"/>
        </w:rPr>
        <w:t>551</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Pr="002B78ED">
        <w:rPr>
          <w:rFonts w:ascii="Times New Roman" w:hAnsi="Times New Roman" w:cs="Times New Roman"/>
          <w:b/>
          <w:sz w:val="24"/>
          <w:szCs w:val="24"/>
          <w:lang w:val="ro-RO"/>
        </w:rPr>
        <w:t>Proiect de lege pentru ratificarea Acordului între Guvernul României şi Cabinetul de Miniştri al Ucrainei privind cooperarea în domeniul prevenirii, limitării şi înlăturării efectelor situaţiilor de urgenţă, semnat la Bucureşti la 18 octombrie 2024</w:t>
      </w:r>
      <w:r>
        <w:rPr>
          <w:rFonts w:ascii="Times New Roman" w:hAnsi="Times New Roman" w:cs="Times New Roman"/>
          <w:b/>
          <w:sz w:val="24"/>
          <w:szCs w:val="24"/>
          <w:lang w:val="ro-RO"/>
        </w:rPr>
        <w:t>.</w:t>
      </w:r>
    </w:p>
    <w:p w14:paraId="756F0423" w14:textId="77777777" w:rsidR="006277FA" w:rsidRPr="00071E16" w:rsidRDefault="006277FA" w:rsidP="006277FA">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Pr>
          <w:rFonts w:ascii="Times New Roman" w:hAnsi="Times New Roman" w:cs="Times New Roman"/>
          <w:b/>
          <w:sz w:val="24"/>
          <w:szCs w:val="24"/>
          <w:lang w:val="ro-RO"/>
        </w:rPr>
        <w:t>Guvernul României</w:t>
      </w:r>
    </w:p>
    <w:p w14:paraId="3EFEA4C2" w14:textId="77777777" w:rsidR="006277FA" w:rsidRPr="00071E16" w:rsidRDefault="006277FA" w:rsidP="006277FA">
      <w:pPr>
        <w:pStyle w:val="Corp"/>
        <w:tabs>
          <w:tab w:val="left" w:pos="567"/>
        </w:tabs>
        <w:spacing w:before="120" w:after="0" w:line="240" w:lineRule="auto"/>
        <w:jc w:val="both"/>
        <w:rPr>
          <w:rFonts w:ascii="Times New Roman" w:hAnsi="Times New Roman" w:cs="Times New Roman"/>
          <w:b/>
          <w:sz w:val="24"/>
          <w:szCs w:val="24"/>
          <w:lang w:val="ro-RO"/>
        </w:rPr>
      </w:pPr>
    </w:p>
    <w:p w14:paraId="4A036BA3" w14:textId="77777777" w:rsidR="006277FA" w:rsidRDefault="006277FA" w:rsidP="006277FA">
      <w:pPr>
        <w:ind w:firstLine="720"/>
        <w:jc w:val="both"/>
      </w:pPr>
      <w:r w:rsidRPr="004C4D71">
        <w:lastRenderedPageBreak/>
        <w:t>Negocierile pentru încheierea unui document de cooperare între cele două Părţi în domeniul situaţiilor de urgenţă au fost demarate în 2004, în baza Memorandumului nr. 193342/11.05.2004 cu tema: Negocierea Acordului între Guvernul României şi Cabinetul de Miniştri al Ucrainei privind cooperarea în domeniul prevenirii, limitării şi înlăturării efectelor dezastrelor. Acestea s-au realizat destul de anevoios, pe o perioadă foarte lungă de timp, de aproape 20 de ani, în cadrul mai multor runde de negocieri.</w:t>
      </w:r>
      <w:r>
        <w:tab/>
      </w:r>
    </w:p>
    <w:p w14:paraId="004518CC" w14:textId="77777777" w:rsidR="006277FA" w:rsidRPr="00071E16" w:rsidRDefault="006277FA" w:rsidP="006277FA">
      <w:pPr>
        <w:ind w:firstLine="720"/>
        <w:jc w:val="both"/>
        <w:rPr>
          <w:lang w:val="ro-RO"/>
        </w:rPr>
      </w:pPr>
    </w:p>
    <w:p w14:paraId="75D4EFA5" w14:textId="77777777" w:rsidR="006277FA" w:rsidRPr="00071E16" w:rsidRDefault="006277FA" w:rsidP="006277FA">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04FA8D39" w14:textId="77777777" w:rsidR="006277FA" w:rsidRPr="004C4D71" w:rsidRDefault="006277FA" w:rsidP="006277FA">
      <w:pPr>
        <w:jc w:val="both"/>
        <w:rPr>
          <w:rFonts w:eastAsiaTheme="minorHAnsi"/>
          <w:kern w:val="2"/>
          <w:bdr w:val="none" w:sz="0" w:space="0" w:color="auto"/>
          <w14:ligatures w14:val="standardContextual"/>
        </w:rPr>
      </w:pPr>
      <w:r w:rsidRPr="00071E16">
        <w:tab/>
      </w:r>
      <w:r w:rsidRPr="004C4D71">
        <w:rPr>
          <w:rFonts w:eastAsiaTheme="minorHAnsi"/>
          <w:kern w:val="2"/>
          <w:bdr w:val="none" w:sz="0" w:space="0" w:color="auto"/>
          <w14:ligatures w14:val="standardContextual"/>
        </w:rPr>
        <w:t>Formele de cooperare cuprind:</w:t>
      </w:r>
    </w:p>
    <w:p w14:paraId="1B08845F" w14:textId="77777777" w:rsidR="006277FA" w:rsidRPr="004C4D71" w:rsidRDefault="006277FA" w:rsidP="006277FA">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a)promovarea de către instituţiile de specialitate din cele două state a unor proiecte comune în domeniul prognozării, prevenirii, evaluării, limitării şi înlăturării efectelor situaţiilor de ugenţă;</w:t>
      </w:r>
    </w:p>
    <w:p w14:paraId="30CB00FC" w14:textId="77777777" w:rsidR="006277FA" w:rsidRPr="004C4D71" w:rsidRDefault="006277FA" w:rsidP="006277FA">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b) organizarea de conferinţe, vizite de studiu, programe ştiinţifice, cursuri de specialitate, schimburi de experienţă, exerciţii şi aplicații practice comune, prin cooperarea Autorităţilor Competente și a instituţiilor relevante din statele Părţilor;</w:t>
      </w:r>
    </w:p>
    <w:p w14:paraId="76F1A088" w14:textId="77777777" w:rsidR="006277FA" w:rsidRPr="004C4D71" w:rsidRDefault="006277FA" w:rsidP="006277FA">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c) schimbul de informaţii cu privire la sursele de risc ce pot genera situaţii de urgenţă, în special cele care generează consecinţe transfrontaliere, care afectează teritoriul statului celeilalte Pări;</w:t>
      </w:r>
    </w:p>
    <w:p w14:paraId="2EA86B35" w14:textId="77777777" w:rsidR="006277FA" w:rsidRPr="00CD605F" w:rsidRDefault="006277FA" w:rsidP="006277FA">
      <w:pPr>
        <w:jc w:val="both"/>
        <w:rPr>
          <w:rFonts w:eastAsiaTheme="minorHAnsi"/>
          <w:kern w:val="2"/>
          <w:bdr w:val="none" w:sz="0" w:space="0" w:color="auto"/>
          <w14:ligatures w14:val="standardContextual"/>
        </w:rPr>
      </w:pPr>
      <w:r w:rsidRPr="004C4D71">
        <w:rPr>
          <w:rFonts w:eastAsiaTheme="minorHAnsi"/>
          <w:kern w:val="2"/>
          <w:bdr w:val="none" w:sz="0" w:space="0" w:color="auto"/>
          <w14:ligatures w14:val="standardContextual"/>
        </w:rPr>
        <w:t>d) schimbul de documentaţie privind rezultatele cercetării ştiinţifice și a concluziilor investigaţiilor referitoare la cauzele situațiilor de urgenţă, evaluarea efectelor acestora şi măsurile de protecţie necesare</w:t>
      </w:r>
    </w:p>
    <w:p w14:paraId="0E259604" w14:textId="77777777" w:rsidR="006277FA" w:rsidRPr="00071E16" w:rsidRDefault="006277FA" w:rsidP="006277FA">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Membrii Comisiei pentru politică externă au analizat textul documentului</w:t>
      </w:r>
      <w:r>
        <w:rPr>
          <w:rFonts w:ascii="Times New Roman" w:eastAsia="Times New Roman" w:hAnsi="Times New Roman" w:cs="Times New Roman"/>
          <w:sz w:val="24"/>
          <w:szCs w:val="24"/>
          <w:lang w:val="ro-RO"/>
        </w:rPr>
        <w:t xml:space="preserve"> </w:t>
      </w:r>
      <w:r w:rsidRPr="00071E16">
        <w:rPr>
          <w:rFonts w:ascii="Times New Roman" w:eastAsia="Times New Roman" w:hAnsi="Times New Roman" w:cs="Times New Roman"/>
          <w:sz w:val="24"/>
          <w:szCs w:val="24"/>
          <w:lang w:val="ro-RO"/>
        </w:rPr>
        <w:t xml:space="preserve">și au hotărât, cu unanimitate de voturi, să adopte un </w:t>
      </w:r>
      <w:r>
        <w:rPr>
          <w:rFonts w:ascii="Times New Roman" w:eastAsia="Times New Roman" w:hAnsi="Times New Roman" w:cs="Times New Roman"/>
          <w:sz w:val="24"/>
          <w:szCs w:val="24"/>
          <w:lang w:val="ro-RO"/>
        </w:rPr>
        <w:t>raport comun de admitere,</w:t>
      </w:r>
      <w:r w:rsidRPr="00071E1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fără</w:t>
      </w:r>
      <w:r w:rsidRPr="00071E16">
        <w:rPr>
          <w:rFonts w:ascii="Times New Roman" w:eastAsia="Times New Roman" w:hAnsi="Times New Roman" w:cs="Times New Roman"/>
          <w:sz w:val="24"/>
          <w:szCs w:val="24"/>
          <w:lang w:val="ro-RO"/>
        </w:rPr>
        <w:t xml:space="preserve"> amendamente.</w:t>
      </w:r>
    </w:p>
    <w:p w14:paraId="52F8CF0D" w14:textId="77777777" w:rsidR="006277FA" w:rsidRDefault="006277FA" w:rsidP="006277FA">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dna Elisabeta David, având funcția de director general.</w:t>
      </w:r>
    </w:p>
    <w:p w14:paraId="5D99F676" w14:textId="77777777" w:rsidR="006277FA" w:rsidRPr="00071E16" w:rsidRDefault="006277FA" w:rsidP="007F1DA4">
      <w:pPr>
        <w:pStyle w:val="Corp"/>
        <w:spacing w:before="120" w:after="0" w:line="240" w:lineRule="auto"/>
        <w:ind w:firstLine="720"/>
        <w:jc w:val="both"/>
        <w:rPr>
          <w:rFonts w:ascii="Times New Roman" w:eastAsia="Times New Roman" w:hAnsi="Times New Roman" w:cs="Times New Roman"/>
          <w:color w:val="auto"/>
          <w:sz w:val="24"/>
          <w:szCs w:val="24"/>
          <w:lang w:val="ro-RO"/>
        </w:rPr>
      </w:pPr>
    </w:p>
    <w:p w14:paraId="3A195CB3" w14:textId="71D396CF" w:rsidR="009C03F3"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5" w:name="_Hlk190777578"/>
      <w:bookmarkEnd w:id="3"/>
      <w:r>
        <w:rPr>
          <w:rFonts w:ascii="Times New Roman" w:hAnsi="Times New Roman" w:cs="Times New Roman"/>
          <w:b/>
          <w:bCs/>
          <w:sz w:val="24"/>
          <w:szCs w:val="24"/>
          <w:lang w:val="ro-RO"/>
        </w:rPr>
        <w:t>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Au fost dezbătute următoarele</w:t>
      </w:r>
      <w:r w:rsidR="00F12E92" w:rsidRPr="00071E16">
        <w:rPr>
          <w:rFonts w:ascii="Times New Roman" w:hAnsi="Times New Roman" w:cs="Times New Roman"/>
          <w:sz w:val="24"/>
          <w:szCs w:val="24"/>
          <w:lang w:val="ro-RO"/>
        </w:rPr>
        <w:t xml:space="preserve"> </w:t>
      </w:r>
      <w:r w:rsidR="009C03F3" w:rsidRPr="00071E16">
        <w:rPr>
          <w:rFonts w:ascii="Times New Roman" w:hAnsi="Times New Roman" w:cs="Times New Roman"/>
          <w:b/>
          <w:bCs/>
          <w:sz w:val="24"/>
          <w:szCs w:val="24"/>
          <w:lang w:val="ro-RO"/>
        </w:rPr>
        <w:t>C</w:t>
      </w:r>
      <w:r w:rsidR="00F12E92" w:rsidRPr="00071E16">
        <w:rPr>
          <w:rFonts w:ascii="Times New Roman" w:hAnsi="Times New Roman" w:cs="Times New Roman"/>
          <w:b/>
          <w:bCs/>
          <w:sz w:val="24"/>
          <w:szCs w:val="24"/>
          <w:lang w:val="ro-RO"/>
        </w:rPr>
        <w:t>omunicări</w:t>
      </w:r>
      <w:r w:rsidR="009C03F3" w:rsidRPr="00071E16">
        <w:rPr>
          <w:rFonts w:ascii="Times New Roman" w:hAnsi="Times New Roman" w:cs="Times New Roman"/>
          <w:b/>
          <w:bCs/>
          <w:sz w:val="24"/>
          <w:szCs w:val="24"/>
          <w:lang w:val="ro-RO"/>
        </w:rPr>
        <w:t xml:space="preserve"> europene</w:t>
      </w:r>
      <w:r w:rsidR="00F12E92" w:rsidRPr="00071E16">
        <w:rPr>
          <w:rFonts w:ascii="Times New Roman" w:hAnsi="Times New Roman" w:cs="Times New Roman"/>
          <w:b/>
          <w:bCs/>
          <w:sz w:val="24"/>
          <w:szCs w:val="24"/>
          <w:lang w:val="ro-RO"/>
        </w:rPr>
        <w:t>:</w:t>
      </w:r>
    </w:p>
    <w:p w14:paraId="50B2461F" w14:textId="30318F56" w:rsidR="00AE23EA" w:rsidRPr="00071E16" w:rsidRDefault="00AE23EA" w:rsidP="00AE23EA">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COM (2025) 5</w:t>
      </w:r>
      <w:r w:rsidR="00445E0E">
        <w:rPr>
          <w:rFonts w:ascii="Times New Roman" w:eastAsia="Times New Roman" w:hAnsi="Times New Roman" w:cs="Times New Roman"/>
          <w:b/>
          <w:bCs/>
          <w:sz w:val="24"/>
          <w:szCs w:val="24"/>
          <w:lang w:val="ro-RO"/>
        </w:rPr>
        <w:t>51</w:t>
      </w:r>
      <w:r w:rsidRPr="00071E16">
        <w:rPr>
          <w:rFonts w:ascii="Times New Roman" w:eastAsia="Times New Roman" w:hAnsi="Times New Roman" w:cs="Times New Roman"/>
          <w:b/>
          <w:bCs/>
          <w:sz w:val="24"/>
          <w:szCs w:val="24"/>
          <w:lang w:val="ro-RO"/>
        </w:rPr>
        <w:t xml:space="preserve"> final - </w:t>
      </w:r>
      <w:r w:rsidR="00445E0E" w:rsidRPr="00445E0E">
        <w:rPr>
          <w:rFonts w:ascii="Times New Roman" w:eastAsia="Times New Roman" w:hAnsi="Times New Roman" w:cs="Times New Roman"/>
          <w:b/>
          <w:bCs/>
          <w:sz w:val="24"/>
          <w:szCs w:val="24"/>
          <w:lang w:val="ro-RO"/>
        </w:rPr>
        <w:t>Propunere de Regulament al Parlamentului European și al Consiliului de instituire a instrumentului „Europa globală”</w:t>
      </w:r>
      <w:r w:rsidR="00F4108F" w:rsidRPr="00071E16">
        <w:rPr>
          <w:rFonts w:ascii="Times New Roman" w:eastAsia="Times New Roman" w:hAnsi="Times New Roman" w:cs="Times New Roman"/>
          <w:b/>
          <w:bCs/>
          <w:sz w:val="24"/>
          <w:szCs w:val="24"/>
          <w:lang w:val="ro-RO"/>
        </w:rPr>
        <w:t>.</w:t>
      </w:r>
    </w:p>
    <w:p w14:paraId="6139A3BF" w14:textId="77777777" w:rsidR="006B20C8" w:rsidRPr="006B20C8" w:rsidRDefault="00F4108F" w:rsidP="006B20C8">
      <w:pPr>
        <w:pStyle w:val="Corp"/>
        <w:spacing w:before="120" w:after="0"/>
        <w:ind w:firstLine="7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 xml:space="preserve">Obiectivele propunerii: </w:t>
      </w:r>
      <w:r w:rsidR="006B20C8" w:rsidRPr="006B20C8">
        <w:rPr>
          <w:rFonts w:ascii="Times New Roman" w:hAnsi="Times New Roman" w:cs="Times New Roman"/>
          <w:sz w:val="24"/>
          <w:szCs w:val="24"/>
          <w:lang w:val="ro-RO"/>
        </w:rPr>
        <w:t>Prezenta propunere este prezentată în contextul rubricii externe a Cadrului financiar multianual (CFM) 2028-2034. Regulamentul propus instituie instrumentul „Europa globală”. Acesta stabilește obiectivele Instrumentului, bugetul pentru perioada 2028-2034, formele de finanțare din partea Uniunii și regulile de acordare a acestei finanțări.</w:t>
      </w:r>
    </w:p>
    <w:p w14:paraId="7B4BCDF8" w14:textId="77777777" w:rsidR="006B20C8" w:rsidRPr="006B20C8" w:rsidRDefault="006B20C8" w:rsidP="006B20C8">
      <w:pPr>
        <w:pStyle w:val="Corp"/>
        <w:spacing w:after="0"/>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Instrumentul „Europa globală” va reuni mai multe instrumente de finanțare pentru politica externă existente în cadrul CFM actual (Instrumentului de vecinătate, cooperare pentru dezvoltare și cooperare internațională - „Europa globală” (IVCDCI – Europa globală), Instrumentului de asistență pentru preaderare – IPA III, ajutor umanitar, Mecanismul pentru Ucraina și Mecanismele pentru reformă și creștere pentru Balcanii de Vest și Moldova) într-un singur cadru, pentru a face față provocărilor unui context geopolitic din ce în ce mai dificil, fragil și volatil, continuând totodată să promoveze interesele și valorile UE.</w:t>
      </w:r>
    </w:p>
    <w:p w14:paraId="2629AADE" w14:textId="77777777" w:rsidR="006B20C8" w:rsidRPr="006B20C8" w:rsidRDefault="006B20C8" w:rsidP="006B20C8">
      <w:pPr>
        <w:pStyle w:val="Corp"/>
        <w:spacing w:after="0"/>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 xml:space="preserve">Acest instrument va contribui la obiectivele acțiunii externe a UE, prin promovarea unor parteneriate reciproc avantajoase cu țările partenere, contribuind simultan la dezvoltarea durabilă </w:t>
      </w:r>
      <w:r w:rsidRPr="006B20C8">
        <w:rPr>
          <w:rFonts w:ascii="Times New Roman" w:hAnsi="Times New Roman" w:cs="Times New Roman"/>
          <w:sz w:val="24"/>
          <w:szCs w:val="24"/>
          <w:lang w:val="ro-RO"/>
        </w:rPr>
        <w:lastRenderedPageBreak/>
        <w:t>a țărilor partenere și la interesele strategice ale Uniunii și va permite, de asemenea, Uniunii să fie mai bine poziționată pentru a aborda provocările globale.</w:t>
      </w:r>
    </w:p>
    <w:p w14:paraId="278CBF39" w14:textId="77777777" w:rsidR="006B20C8" w:rsidRPr="006B20C8" w:rsidRDefault="006B20C8" w:rsidP="006B20C8">
      <w:pPr>
        <w:pStyle w:val="Corp"/>
        <w:spacing w:after="0"/>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Acesta are la bază patru principii directoare principale, respectiv simplificarea arhitecturii rubricii externe, coerența acțiunii, flexibilitatea instrumentului și impactul acțiunii UE.</w:t>
      </w:r>
    </w:p>
    <w:p w14:paraId="18789F7B" w14:textId="5D90A680" w:rsidR="00F4108F" w:rsidRPr="00071E16" w:rsidRDefault="006B20C8" w:rsidP="006B20C8">
      <w:pPr>
        <w:pStyle w:val="Corp"/>
        <w:spacing w:after="0" w:line="240" w:lineRule="auto"/>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Alocarea financiară pentru implementarea Instrumentului în perioada 1 ianuarie 2028 – 31 decembrie 2034 va fi de 200,3 miliarde EUR. În plus, vor fi puse la dispoziție prin intermediul Instrumentului resurse financiare pentru Ucraina sub formă de împrumuturi de până la 100 de miliarde EUR.</w:t>
      </w:r>
    </w:p>
    <w:p w14:paraId="50B9BEAA" w14:textId="2D2C3562" w:rsidR="00F4108F" w:rsidRPr="00071E16" w:rsidRDefault="00F4108F" w:rsidP="00F4108F">
      <w:pPr>
        <w:pStyle w:val="Corp"/>
        <w:spacing w:before="120" w:after="0" w:line="240" w:lineRule="auto"/>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7E07DF6E" w14:textId="40408BBE" w:rsidR="00F4108F" w:rsidRPr="00071E16" w:rsidRDefault="00AE23EA" w:rsidP="00F4108F">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COM (2025) 5</w:t>
      </w:r>
      <w:r w:rsidR="00820C7D">
        <w:rPr>
          <w:rFonts w:ascii="Times New Roman" w:eastAsia="Times New Roman" w:hAnsi="Times New Roman" w:cs="Times New Roman"/>
          <w:b/>
          <w:bCs/>
          <w:sz w:val="24"/>
          <w:szCs w:val="24"/>
          <w:lang w:val="ro-RO"/>
        </w:rPr>
        <w:t>99</w:t>
      </w:r>
      <w:r w:rsidRPr="00071E16">
        <w:rPr>
          <w:rFonts w:ascii="Times New Roman" w:eastAsia="Times New Roman" w:hAnsi="Times New Roman" w:cs="Times New Roman"/>
          <w:b/>
          <w:bCs/>
          <w:sz w:val="24"/>
          <w:szCs w:val="24"/>
          <w:lang w:val="ro-RO"/>
        </w:rPr>
        <w:t xml:space="preserve"> final - </w:t>
      </w:r>
      <w:r w:rsidR="00820C7D" w:rsidRPr="00820C7D">
        <w:rPr>
          <w:rFonts w:ascii="Times New Roman" w:eastAsia="Times New Roman" w:hAnsi="Times New Roman" w:cs="Times New Roman"/>
          <w:b/>
          <w:bCs/>
          <w:sz w:val="24"/>
          <w:szCs w:val="24"/>
          <w:lang w:val="ro-RO"/>
        </w:rPr>
        <w:t>Propunere de Decizie a Consiliului de modificare a Deciziei (UE) 2021/1764 privind asocierea țărilor și teritoriilor de peste mări la Uniunea Europeană, inclusiv relațiile dintre Uniunea Europeană, pe de o parte, și Groenlanda și Regatul Danemarcei, pe de altă parte</w:t>
      </w:r>
      <w:r w:rsidR="00820C7D">
        <w:rPr>
          <w:rFonts w:ascii="Times New Roman" w:eastAsia="Times New Roman" w:hAnsi="Times New Roman" w:cs="Times New Roman"/>
          <w:b/>
          <w:bCs/>
          <w:sz w:val="24"/>
          <w:szCs w:val="24"/>
          <w:lang w:val="ro-RO"/>
        </w:rPr>
        <w:t>.</w:t>
      </w:r>
    </w:p>
    <w:p w14:paraId="10A289AB" w14:textId="307B8A95" w:rsidR="00820C7D" w:rsidRPr="00820C7D" w:rsidRDefault="00F4108F" w:rsidP="00820C7D">
      <w:pPr>
        <w:pStyle w:val="Corp"/>
        <w:tabs>
          <w:tab w:val="left" w:pos="720"/>
        </w:tabs>
        <w:spacing w:before="120" w:after="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ab/>
        <w:t>Obiectivele propuneri</w:t>
      </w:r>
      <w:r w:rsidR="00B07D18" w:rsidRPr="00071E16">
        <w:rPr>
          <w:rFonts w:ascii="Times New Roman" w:hAnsi="Times New Roman" w:cs="Times New Roman"/>
          <w:sz w:val="24"/>
          <w:szCs w:val="24"/>
          <w:lang w:val="ro-RO"/>
        </w:rPr>
        <w:t>i</w:t>
      </w:r>
      <w:r w:rsidRPr="00071E16">
        <w:rPr>
          <w:rFonts w:ascii="Times New Roman" w:hAnsi="Times New Roman" w:cs="Times New Roman"/>
          <w:sz w:val="24"/>
          <w:szCs w:val="24"/>
          <w:lang w:val="ro-RO"/>
        </w:rPr>
        <w:t xml:space="preserve">: </w:t>
      </w:r>
      <w:r w:rsidR="00820C7D" w:rsidRPr="00820C7D">
        <w:rPr>
          <w:rFonts w:ascii="Times New Roman" w:hAnsi="Times New Roman" w:cs="Times New Roman"/>
          <w:sz w:val="24"/>
          <w:szCs w:val="24"/>
          <w:lang w:val="ro-RO"/>
        </w:rPr>
        <w:t>Prezenta propunere este formulată în contextul Cadrului financiar multianual (CFM) 2028-2034, care are ambiția politică de a răspunde priorităților Uniunii, acționând totodată cu forță și unitate pe scena globală în următorul deceniu.</w:t>
      </w:r>
      <w:r w:rsidR="00820C7D">
        <w:rPr>
          <w:rFonts w:ascii="Times New Roman" w:hAnsi="Times New Roman" w:cs="Times New Roman"/>
          <w:sz w:val="24"/>
          <w:szCs w:val="24"/>
          <w:lang w:val="ro-RO"/>
        </w:rPr>
        <w:tab/>
      </w:r>
    </w:p>
    <w:p w14:paraId="46881347" w14:textId="6BCACBCA" w:rsidR="00820C7D" w:rsidRPr="00820C7D" w:rsidRDefault="00820C7D" w:rsidP="00820C7D">
      <w:pPr>
        <w:pStyle w:val="Corp"/>
        <w:tabs>
          <w:tab w:val="left" w:pos="72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20C7D">
        <w:rPr>
          <w:rFonts w:ascii="Times New Roman" w:hAnsi="Times New Roman" w:cs="Times New Roman"/>
          <w:sz w:val="24"/>
          <w:szCs w:val="24"/>
          <w:lang w:val="ro-RO"/>
        </w:rPr>
        <w:t>Cele 13 țări și teritorii de peste mări (TTPM), afiliate Danemarcei, Franței și Țărilor de Jos, reprezintă aproximativ 1 milion de locuitori și dețin cea mai mare zonă economică exclusivă (ZEE) din lume (15 milioane km²). Acestea nu fac parte din UE, din piața unică sau din spațiul Schengen, însă locuitorii lor sunt cetățeni europeni.</w:t>
      </w:r>
    </w:p>
    <w:p w14:paraId="6D58606F" w14:textId="0E8051B2" w:rsidR="00820C7D" w:rsidRPr="00820C7D" w:rsidRDefault="00820C7D" w:rsidP="00820C7D">
      <w:pPr>
        <w:pStyle w:val="Corp"/>
        <w:tabs>
          <w:tab w:val="left" w:pos="720"/>
        </w:tabs>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20C7D">
        <w:rPr>
          <w:rFonts w:ascii="Times New Roman" w:hAnsi="Times New Roman" w:cs="Times New Roman"/>
          <w:sz w:val="24"/>
          <w:szCs w:val="24"/>
          <w:lang w:val="ro-RO"/>
        </w:rPr>
        <w:t>Propunerea are ca scop modificarea Deciziei (UE) 2021/1764 pentru a asigura continuarea parteneriatului dintre Uniune și țările și teritoriile de peste mări (TTPM) în cadrul viitorului Cadru financiar multianual (CFM) 2028-2034. Modificarea se va axa pe programul de finanțare și pe alte dispoziții selectate ale Deciziei privind asocierea peste mări, inclusiv Groenlanda (DOAG), pentru a dezvolta în continuare dimensiunea strategică și a asigura un impact sporit, îndeplinind în același timp obiectivele parteneriatului UE-TTPM.</w:t>
      </w:r>
    </w:p>
    <w:p w14:paraId="04EA5752" w14:textId="5DF8F214" w:rsidR="00F4108F" w:rsidRPr="00071E16" w:rsidRDefault="00820C7D" w:rsidP="00820C7D">
      <w:pPr>
        <w:pStyle w:val="Corp"/>
        <w:tabs>
          <w:tab w:val="left" w:pos="720"/>
        </w:tabs>
        <w:spacing w:before="120"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20C7D">
        <w:rPr>
          <w:rFonts w:ascii="Times New Roman" w:hAnsi="Times New Roman" w:cs="Times New Roman"/>
          <w:sz w:val="24"/>
          <w:szCs w:val="24"/>
          <w:lang w:val="ro-RO"/>
        </w:rPr>
        <w:t>Comisia Europeană propune alocarea unei sume indicative de 999 milioane EUR (la prețuri curente) pentru programul de finanțare al asocierii pentru perioada 2028-2034.</w:t>
      </w:r>
    </w:p>
    <w:p w14:paraId="63BBD0F2" w14:textId="02883879" w:rsidR="00F4108F" w:rsidRPr="00071E16" w:rsidRDefault="00F4108F" w:rsidP="00F4108F">
      <w:pPr>
        <w:pStyle w:val="Corp"/>
        <w:tabs>
          <w:tab w:val="left" w:pos="567"/>
        </w:tabs>
        <w:spacing w:before="120" w:after="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ab/>
      </w:r>
      <w:r w:rsidRPr="00071E16">
        <w:rPr>
          <w:rFonts w:ascii="Times New Roman" w:hAnsi="Times New Roman" w:cs="Times New Roman"/>
          <w:sz w:val="24"/>
          <w:szCs w:val="24"/>
          <w:lang w:val="ro-RO"/>
        </w:rPr>
        <w:tab/>
      </w: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31D1987E" w14:textId="0D0EA3D8" w:rsidR="00AE23EA" w:rsidRPr="00071E16" w:rsidRDefault="00656D0B" w:rsidP="00656D0B">
      <w:pPr>
        <w:pStyle w:val="Corp"/>
        <w:numPr>
          <w:ilvl w:val="0"/>
          <w:numId w:val="20"/>
        </w:numPr>
        <w:spacing w:before="12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JOIN</w:t>
      </w:r>
      <w:r w:rsidR="00AE23EA" w:rsidRPr="00071E16">
        <w:rPr>
          <w:rFonts w:ascii="Times New Roman" w:eastAsia="Times New Roman" w:hAnsi="Times New Roman" w:cs="Times New Roman"/>
          <w:b/>
          <w:bCs/>
          <w:sz w:val="24"/>
          <w:szCs w:val="24"/>
          <w:lang w:val="ro-RO"/>
        </w:rPr>
        <w:t xml:space="preserve"> (2025) </w:t>
      </w:r>
      <w:r>
        <w:rPr>
          <w:rFonts w:ascii="Times New Roman" w:eastAsia="Times New Roman" w:hAnsi="Times New Roman" w:cs="Times New Roman"/>
          <w:b/>
          <w:bCs/>
          <w:sz w:val="24"/>
          <w:szCs w:val="24"/>
          <w:lang w:val="ro-RO"/>
        </w:rPr>
        <w:t>26</w:t>
      </w:r>
      <w:r w:rsidR="00AE23EA" w:rsidRPr="00071E16">
        <w:rPr>
          <w:rFonts w:ascii="Times New Roman" w:eastAsia="Times New Roman" w:hAnsi="Times New Roman" w:cs="Times New Roman"/>
          <w:b/>
          <w:bCs/>
          <w:sz w:val="24"/>
          <w:szCs w:val="24"/>
          <w:lang w:val="ro-RO"/>
        </w:rPr>
        <w:t xml:space="preserve"> final - </w:t>
      </w:r>
      <w:r w:rsidRPr="00656D0B">
        <w:rPr>
          <w:rFonts w:ascii="Times New Roman" w:eastAsia="Times New Roman" w:hAnsi="Times New Roman" w:cs="Times New Roman"/>
          <w:b/>
          <w:bCs/>
          <w:sz w:val="24"/>
          <w:szCs w:val="24"/>
          <w:lang w:val="ro-RO"/>
        </w:rPr>
        <w:t>Comunicare Comună către Parlamentul European, Consiliu, Comitetul Economic și Social European și Comitetul Regiunilor Pactul pentru Mediterana. O mare, un pact, un viitor</w:t>
      </w:r>
      <w:r w:rsidR="008F5A63" w:rsidRPr="00071E16">
        <w:rPr>
          <w:rFonts w:ascii="Times New Roman" w:eastAsia="Times New Roman" w:hAnsi="Times New Roman" w:cs="Times New Roman"/>
          <w:b/>
          <w:bCs/>
          <w:sz w:val="24"/>
          <w:szCs w:val="24"/>
          <w:lang w:val="ro-RO"/>
        </w:rPr>
        <w:t>.</w:t>
      </w:r>
    </w:p>
    <w:p w14:paraId="2958B599" w14:textId="0FBA6167" w:rsidR="00656D0B" w:rsidRPr="00656D0B" w:rsidRDefault="008F1723" w:rsidP="00656D0B">
      <w:pPr>
        <w:autoSpaceDE w:val="0"/>
        <w:autoSpaceDN w:val="0"/>
        <w:adjustRightInd w:val="0"/>
        <w:contextualSpacing/>
        <w:jc w:val="both"/>
        <w:rPr>
          <w:rFonts w:ascii="Cambria" w:eastAsia="Calibri" w:hAnsi="Cambria"/>
          <w:bdr w:val="none" w:sz="0" w:space="0" w:color="auto"/>
          <w:lang w:val="en-GB"/>
        </w:rPr>
      </w:pPr>
      <w:r w:rsidRPr="00071E16">
        <w:rPr>
          <w:lang w:val="ro-RO"/>
        </w:rPr>
        <w:tab/>
      </w:r>
      <w:bookmarkStart w:id="6" w:name="_Hlk209692559"/>
      <w:bookmarkStart w:id="7" w:name="_Hlk209692705"/>
      <w:r w:rsidR="0068595A" w:rsidRPr="00071E16">
        <w:rPr>
          <w:lang w:val="ro-RO"/>
        </w:rPr>
        <w:t>Obiectivele propuneri</w:t>
      </w:r>
      <w:r w:rsidR="00B07D18" w:rsidRPr="00071E16">
        <w:rPr>
          <w:lang w:val="ro-RO"/>
        </w:rPr>
        <w:t>i</w:t>
      </w:r>
      <w:r w:rsidR="0068595A" w:rsidRPr="00071E16">
        <w:rPr>
          <w:lang w:val="ro-RO"/>
        </w:rPr>
        <w:t xml:space="preserve">: </w:t>
      </w:r>
      <w:bookmarkEnd w:id="6"/>
      <w:r w:rsidR="00656D0B" w:rsidRPr="00656D0B">
        <w:rPr>
          <w:rFonts w:ascii="Cambria" w:eastAsia="Calibri" w:hAnsi="Cambria"/>
          <w:bdr w:val="none" w:sz="0" w:space="0" w:color="auto"/>
          <w:lang w:val="en-GB"/>
        </w:rPr>
        <w:t xml:space="preserve">Uniunea Europeană (UE) și partenerii din sudul Mediteranei împărtășesc spațiul mediteraneean comun, un spațiu de oportunități, provocări și responsabilități comune. Aceștia lucrează în parteneriat pentru o regiune mediteraneeană stabilă și prosperă. </w:t>
      </w:r>
    </w:p>
    <w:p w14:paraId="4B3B7131" w14:textId="77777777" w:rsidR="00656D0B" w:rsidRPr="00656D0B" w:rsidRDefault="00656D0B" w:rsidP="00656D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720"/>
        <w:contextualSpacing/>
        <w:jc w:val="both"/>
        <w:rPr>
          <w:rFonts w:ascii="Cambria" w:eastAsia="Calibri" w:hAnsi="Cambria"/>
          <w:bdr w:val="none" w:sz="0" w:space="0" w:color="auto"/>
          <w:lang w:val="en-GB"/>
        </w:rPr>
      </w:pPr>
      <w:r w:rsidRPr="00656D0B">
        <w:rPr>
          <w:rFonts w:ascii="Cambria" w:eastAsia="Calibri" w:hAnsi="Cambria"/>
          <w:bdr w:val="none" w:sz="0" w:space="0" w:color="auto"/>
          <w:lang w:val="en-GB"/>
        </w:rPr>
        <w:lastRenderedPageBreak/>
        <w:t>Crearea unei zone de pace și prosperitate comune în regiunea mediteraneeană a reprezentat un obiectiv strategic pentru Uniunea Europeană, încă din 1995, odată cu instituirea Procesului de la Barcelona.</w:t>
      </w:r>
    </w:p>
    <w:p w14:paraId="427250FF" w14:textId="77777777" w:rsidR="00656D0B" w:rsidRPr="00656D0B" w:rsidRDefault="00656D0B" w:rsidP="00656D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720"/>
        <w:contextualSpacing/>
        <w:jc w:val="both"/>
        <w:rPr>
          <w:rFonts w:ascii="Cambria" w:eastAsia="Calibri" w:hAnsi="Cambria"/>
          <w:bdr w:val="none" w:sz="0" w:space="0" w:color="auto"/>
          <w:lang w:val="en-GB"/>
        </w:rPr>
      </w:pPr>
      <w:r w:rsidRPr="00656D0B">
        <w:rPr>
          <w:rFonts w:ascii="Cambria" w:eastAsia="Calibri" w:hAnsi="Cambria"/>
          <w:bdr w:val="none" w:sz="0" w:space="0" w:color="auto"/>
          <w:lang w:val="en-GB"/>
        </w:rPr>
        <w:t>Pactul pentru Mediterana („pactul”) reprezintă o oportunitate de a remodela relațiile esențiale și de a sublinia angajamentul față de pace, securitate și ordinea internațională bazată pe norme multilaterale, oferind un semnal politic clar de parteneriat pe scena mondială.</w:t>
      </w:r>
    </w:p>
    <w:p w14:paraId="369A2B91" w14:textId="77777777" w:rsidR="00656D0B" w:rsidRPr="00656D0B" w:rsidRDefault="00656D0B" w:rsidP="00656D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720"/>
        <w:contextualSpacing/>
        <w:jc w:val="both"/>
        <w:rPr>
          <w:rFonts w:ascii="Cambria" w:eastAsia="Calibri" w:hAnsi="Cambria"/>
          <w:bdr w:val="none" w:sz="0" w:space="0" w:color="auto"/>
          <w:lang w:val="en-GB"/>
        </w:rPr>
      </w:pPr>
      <w:r w:rsidRPr="00656D0B">
        <w:rPr>
          <w:rFonts w:ascii="Cambria" w:eastAsia="Calibri" w:hAnsi="Cambria"/>
          <w:bdr w:val="none" w:sz="0" w:space="0" w:color="auto"/>
          <w:lang w:val="en-GB"/>
        </w:rPr>
        <w:t>Pactul asigură cadrul practic de cooperare structurat în jurul a trei piloni strâns interconectați: oamenii - forța motrice a schimbării, a conexiunilor și a inovării, economii mai puternice, mai durabile și mai integrate, precum și securitatea, pregătirea și gestionarea migrației.</w:t>
      </w:r>
    </w:p>
    <w:p w14:paraId="538626DA" w14:textId="77777777" w:rsidR="00656D0B" w:rsidRPr="00656D0B" w:rsidRDefault="00656D0B" w:rsidP="00656D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720"/>
        <w:contextualSpacing/>
        <w:jc w:val="both"/>
        <w:rPr>
          <w:rFonts w:ascii="Cambria" w:eastAsia="Calibri" w:hAnsi="Cambria"/>
          <w:bdr w:val="none" w:sz="0" w:space="0" w:color="auto"/>
          <w:lang w:val="en-GB"/>
        </w:rPr>
      </w:pPr>
      <w:r w:rsidRPr="00656D0B">
        <w:rPr>
          <w:rFonts w:ascii="Cambria" w:eastAsia="Calibri" w:hAnsi="Cambria"/>
          <w:bdr w:val="none" w:sz="0" w:space="0" w:color="auto"/>
          <w:lang w:val="en-GB"/>
        </w:rPr>
        <w:t xml:space="preserve">Vor fi mobilizate toate instrumentele financiare relevante ale UE pentru a sprijini punerea în aplicare a pactului, care este aliniat la prioritățile IVCDCI – Europa globală, ale Global Gateway și ale viitoarei inițiative „Europa globală. </w:t>
      </w:r>
    </w:p>
    <w:p w14:paraId="5C8D567B" w14:textId="77777777" w:rsidR="00656D0B" w:rsidRPr="00656D0B" w:rsidRDefault="00656D0B" w:rsidP="00656D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720"/>
        <w:contextualSpacing/>
        <w:jc w:val="both"/>
        <w:rPr>
          <w:rFonts w:ascii="Cambria" w:eastAsia="Calibri" w:hAnsi="Cambria"/>
          <w:bdr w:val="none" w:sz="0" w:space="0" w:color="auto"/>
          <w:lang w:val="en-GB"/>
        </w:rPr>
      </w:pPr>
      <w:r w:rsidRPr="00656D0B">
        <w:rPr>
          <w:rFonts w:ascii="Cambria" w:eastAsia="Calibri" w:hAnsi="Cambria"/>
          <w:bdr w:val="none" w:sz="0" w:space="0" w:color="auto"/>
          <w:lang w:val="en-GB"/>
        </w:rPr>
        <w:t>Pactul este propus spre aprobare politică de către UE împreună cu partenerii din sudul Mediteranei în noiembrie 2025, cu ocazia celei de a 30-a aniversări a Declarației de la Barcelona.</w:t>
      </w:r>
    </w:p>
    <w:p w14:paraId="26693A33" w14:textId="353B8BFE" w:rsidR="008F1723" w:rsidRPr="00071E16" w:rsidRDefault="0068595A" w:rsidP="00656D0B">
      <w:pPr>
        <w:pStyle w:val="Corp"/>
        <w:tabs>
          <w:tab w:val="left" w:pos="567"/>
        </w:tabs>
        <w:spacing w:before="120" w:after="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ab/>
      </w:r>
      <w:r w:rsidR="008F1723"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06436350" w14:textId="4A0C2FA3" w:rsidR="0021078E" w:rsidRPr="00071E16" w:rsidRDefault="0021078E" w:rsidP="00071E16">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COM (2025) 484 final - Comunicare a Comisiei către Parlamentul European și Consiliu -  Raportul de analiză prospectivă strategică pe 2025 Reziliență 2.0: consolidarea capacității UE de a prospera în condiții de turbulențe și incertitudini.</w:t>
      </w:r>
    </w:p>
    <w:p w14:paraId="763B6948" w14:textId="77777777" w:rsidR="00210F98" w:rsidRPr="00071E16" w:rsidRDefault="0021078E" w:rsidP="00210F98">
      <w:pPr>
        <w:pStyle w:val="Corp"/>
        <w:spacing w:before="120" w:after="0"/>
        <w:ind w:firstLine="720"/>
        <w:jc w:val="both"/>
        <w:rPr>
          <w:rFonts w:ascii="Times New Roman" w:eastAsia="Times New Roman" w:hAnsi="Times New Roman" w:cs="Times New Roman"/>
          <w:color w:val="auto"/>
          <w:sz w:val="24"/>
          <w:szCs w:val="24"/>
          <w:lang w:val="ro-RO"/>
        </w:rPr>
      </w:pPr>
      <w:bookmarkStart w:id="8" w:name="_Hlk209692342"/>
      <w:r w:rsidRPr="00071E16">
        <w:rPr>
          <w:rFonts w:ascii="Times New Roman" w:eastAsia="Times New Roman" w:hAnsi="Times New Roman" w:cs="Times New Roman"/>
          <w:color w:val="auto"/>
          <w:sz w:val="24"/>
          <w:szCs w:val="24"/>
          <w:lang w:val="ro-RO"/>
        </w:rPr>
        <w:t xml:space="preserve">Obiectivele propunerii: </w:t>
      </w:r>
      <w:r w:rsidR="00210F98" w:rsidRPr="00071E16">
        <w:rPr>
          <w:rFonts w:ascii="Times New Roman" w:eastAsia="Times New Roman" w:hAnsi="Times New Roman" w:cs="Times New Roman"/>
          <w:color w:val="auto"/>
          <w:sz w:val="24"/>
          <w:szCs w:val="24"/>
          <w:lang w:val="ro-RO"/>
        </w:rPr>
        <w:t>De la primul raport de analiză prospectivă strategică din 2020, ordinea mondială a fost afectată puternic. Deși primul raport a explorat conceptul de reziliență legat în principal de primele lecții structurale desprinse în urma pandemiei de COVID-19, este momentul să se intensifice atât gradul de pregătire, cât și reziliența, pentru a menține și a restabili statutul UE de actor puternic în această lume în schimbare.</w:t>
      </w:r>
    </w:p>
    <w:p w14:paraId="6042ED42" w14:textId="77777777" w:rsidR="00210F98" w:rsidRPr="00071E16" w:rsidRDefault="00210F98" w:rsidP="00210F98">
      <w:pPr>
        <w:pStyle w:val="Corp"/>
        <w:spacing w:before="120" w:after="0"/>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Prin urmare, prezentul raport introduce noțiunea de reziliență 2.0. Amploarea, complexitatea, diversitatea și persistența provocărilor viitoare impun un nou nivel de reziliență și trecerea rapidă de la abordarea reactivă către o abordare transformatoare, proactivă și orientată spre viitor.</w:t>
      </w:r>
    </w:p>
    <w:p w14:paraId="63EE1DFD" w14:textId="77777777" w:rsidR="00210F98" w:rsidRPr="00071E16" w:rsidRDefault="00210F98" w:rsidP="00210F98">
      <w:pPr>
        <w:pStyle w:val="Corp"/>
        <w:spacing w:before="120" w:after="0"/>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Prezentul raport contribuie la reflecția asupra modului în care se poate realiza această trecere la un nou nivel de reziliență, analizează principalele tendințe și evoluții pe termen lung și prezintă factorilor de decizie posibilele acțiuni care trebuie întreprinse în prezent pentru realizarea idealului unei UE reziliente până în 2040.</w:t>
      </w:r>
    </w:p>
    <w:p w14:paraId="52B8340B" w14:textId="5B04D862" w:rsidR="008F1723" w:rsidRPr="00071E16" w:rsidRDefault="0021078E" w:rsidP="00210F98">
      <w:pPr>
        <w:pStyle w:val="Corp"/>
        <w:spacing w:before="120" w:after="0"/>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bookmarkEnd w:id="7"/>
      <w:bookmarkEnd w:id="8"/>
    </w:p>
    <w:p w14:paraId="4E18A85E" w14:textId="5290E96E" w:rsidR="00F12E92"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 xml:space="preserve">Au fost dezbătute </w:t>
      </w:r>
      <w:r w:rsidR="008F1723" w:rsidRPr="00071E16">
        <w:rPr>
          <w:rFonts w:ascii="Times New Roman" w:hAnsi="Times New Roman" w:cs="Times New Roman"/>
          <w:b/>
          <w:bCs/>
          <w:sz w:val="24"/>
          <w:szCs w:val="24"/>
          <w:lang w:val="ro-RO"/>
        </w:rPr>
        <w:t xml:space="preserve">următoarele </w:t>
      </w:r>
      <w:r w:rsidR="00F12E92" w:rsidRPr="00071E16">
        <w:rPr>
          <w:rFonts w:ascii="Times New Roman" w:hAnsi="Times New Roman" w:cs="Times New Roman"/>
          <w:b/>
          <w:bCs/>
          <w:sz w:val="24"/>
          <w:szCs w:val="24"/>
          <w:lang w:val="ro-RO"/>
        </w:rPr>
        <w:t>memorandumuri:</w:t>
      </w:r>
    </w:p>
    <w:p w14:paraId="488AB639" w14:textId="77777777" w:rsidR="00C4566A" w:rsidRPr="00071E16" w:rsidRDefault="00C4566A" w:rsidP="00C4566A">
      <w:pPr>
        <w:pStyle w:val="ListParagraph"/>
        <w:spacing w:before="120" w:after="240"/>
        <w:ind w:left="984"/>
        <w:jc w:val="both"/>
        <w:rPr>
          <w:b/>
          <w:bCs/>
          <w:lang w:val="ro-RO"/>
        </w:rPr>
      </w:pPr>
      <w:bookmarkStart w:id="9" w:name="_Hlk207618094"/>
      <w:bookmarkEnd w:id="5"/>
      <w:r w:rsidRPr="00071E16">
        <w:rPr>
          <w:b/>
          <w:bCs/>
          <w:lang w:val="ro-RO"/>
        </w:rPr>
        <w:lastRenderedPageBreak/>
        <w:t>Membrii comisiei au dezbătut și avizat favorabil, cu unanimitate de voturi, următoarele memorandum-uri aferente unor acțiuni parlamentare de relații externe:</w:t>
      </w:r>
    </w:p>
    <w:bookmarkEnd w:id="9"/>
    <w:p w14:paraId="0C7D8B3E" w14:textId="100080CA"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C17CE3" w:rsidRPr="00C17CE3">
        <w:rPr>
          <w:rFonts w:ascii="Times New Roman" w:hAnsi="Times New Roman" w:cs="Times New Roman"/>
          <w:bCs/>
          <w:sz w:val="24"/>
          <w:szCs w:val="24"/>
          <w:lang w:val="ro-RO"/>
        </w:rPr>
        <w:t>dlui senator Laurențiu-Cristinel Țepeluș, membru al Comisiei generale pentru probleme culturale a ICE-DP, la reuniunea Adunării Parlamentare a Inițiativei Central-Europene (Belgrad, 4-6 noiembrie 2025).</w:t>
      </w:r>
    </w:p>
    <w:p w14:paraId="47537787" w14:textId="1F1D78A9"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bookmarkStart w:id="10" w:name="_Hlk210738208"/>
      <w:r w:rsidR="00D645AC" w:rsidRPr="00071E16">
        <w:rPr>
          <w:rFonts w:ascii="Times New Roman" w:hAnsi="Times New Roman" w:cs="Times New Roman"/>
          <w:bCs/>
          <w:sz w:val="24"/>
          <w:szCs w:val="24"/>
          <w:lang w:val="ro-RO"/>
        </w:rPr>
        <w:t>dlui senator Istvan-Szilard Tasnadi, membru al Delegației Parlamentului României la APCEMN, la cea de-a 66-a reuniune a Comisiei pentru probleme juridice și cooperare internațională a Adunării Parlamentare a Cooperării Ecomomice a Mării Negre (Borjomi, Georgia, 24-25 octombrie 2025).</w:t>
      </w:r>
      <w:bookmarkEnd w:id="10"/>
    </w:p>
    <w:p w14:paraId="681D641C" w14:textId="477814B7"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D645AC" w:rsidRPr="00071E16">
        <w:rPr>
          <w:rFonts w:ascii="Times New Roman" w:hAnsi="Times New Roman" w:cs="Times New Roman"/>
          <w:bCs/>
          <w:sz w:val="24"/>
          <w:szCs w:val="24"/>
          <w:lang w:val="ro-RO"/>
        </w:rPr>
        <w:t>dnei senator Elena-Simona Spătaru, membră a Delegației române la APCE, la reuniunea Comisiei Adunării Parlamentare a Consiliului Europei privind migrația, refugiații și persoanele strămutate (Londra, 20-21 octombrie 2025).</w:t>
      </w:r>
    </w:p>
    <w:p w14:paraId="566F30C4" w14:textId="07BD08F9"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071E1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p w14:paraId="77BC720D" w14:textId="77777777" w:rsidR="000B1ACD" w:rsidRPr="00071E16" w:rsidRDefault="000B1ACD" w:rsidP="000B1ACD">
      <w:pPr>
        <w:jc w:val="both"/>
        <w:rPr>
          <w:rFonts w:eastAsia="Times New Roman"/>
          <w:color w:val="FF0000"/>
          <w:lang w:val="ro-RO"/>
        </w:rPr>
      </w:pPr>
    </w:p>
    <w:p w14:paraId="0AD33C08" w14:textId="77777777" w:rsidR="00842797" w:rsidRPr="00071E16" w:rsidRDefault="00842797" w:rsidP="006B045F">
      <w:pPr>
        <w:pStyle w:val="ListParagraph"/>
        <w:ind w:left="540"/>
        <w:jc w:val="both"/>
        <w:rPr>
          <w:rFonts w:eastAsia="Times New Roman"/>
          <w:lang w:val="ro-RO"/>
        </w:rPr>
      </w:pPr>
    </w:p>
    <w:p w14:paraId="11625C48" w14:textId="6E8B00AA" w:rsidR="008068A2" w:rsidRPr="00071E16" w:rsidRDefault="00842797" w:rsidP="002E1020">
      <w:pPr>
        <w:pStyle w:val="Corp"/>
        <w:spacing w:after="0" w:line="240" w:lineRule="auto"/>
        <w:jc w:val="both"/>
        <w:rPr>
          <w:rFonts w:ascii="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r w:rsidRPr="00071E16">
        <w:rPr>
          <w:rFonts w:ascii="Times New Roman" w:hAnsi="Times New Roman" w:cs="Times New Roman"/>
          <w:b/>
          <w:bCs/>
          <w:i/>
          <w:iCs/>
          <w:sz w:val="24"/>
          <w:szCs w:val="24"/>
          <w:lang w:val="ro-RO"/>
        </w:rPr>
        <w:t xml:space="preserve">                         </w:t>
      </w:r>
    </w:p>
    <w:sectPr w:rsidR="008068A2" w:rsidRPr="00071E1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AAFB" w14:textId="77777777" w:rsidR="00C645F1" w:rsidRDefault="00C645F1">
      <w:r>
        <w:separator/>
      </w:r>
    </w:p>
  </w:endnote>
  <w:endnote w:type="continuationSeparator" w:id="0">
    <w:p w14:paraId="7190F9D7" w14:textId="77777777" w:rsidR="00C645F1" w:rsidRDefault="00C6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986D" w14:textId="77777777" w:rsidR="00C645F1" w:rsidRDefault="00C645F1">
      <w:r>
        <w:separator/>
      </w:r>
    </w:p>
  </w:footnote>
  <w:footnote w:type="continuationSeparator" w:id="0">
    <w:p w14:paraId="1BC0003F" w14:textId="77777777" w:rsidR="00C645F1" w:rsidRDefault="00C6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0B4215F3"/>
    <w:multiLevelType w:val="hybridMultilevel"/>
    <w:tmpl w:val="9454BFC6"/>
    <w:lvl w:ilvl="0" w:tplc="1D744A18">
      <w:start w:val="1"/>
      <w:numFmt w:val="decimal"/>
      <w:lvlText w:val="%1."/>
      <w:lvlJc w:val="left"/>
      <w:pPr>
        <w:ind w:left="984" w:hanging="360"/>
      </w:pPr>
      <w:rPr>
        <w:rFonts w:eastAsia="Times New Roman" w:cs="Times New Roman" w:hint="default"/>
        <w:color w:val="000000" w:themeColor="text1"/>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D6D"/>
    <w:multiLevelType w:val="hybridMultilevel"/>
    <w:tmpl w:val="AF56E124"/>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7"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4"/>
  </w:num>
  <w:num w:numId="2" w16cid:durableId="1214317744">
    <w:abstractNumId w:val="11"/>
  </w:num>
  <w:num w:numId="3" w16cid:durableId="380906007">
    <w:abstractNumId w:val="3"/>
  </w:num>
  <w:num w:numId="4" w16cid:durableId="2024896848">
    <w:abstractNumId w:val="18"/>
  </w:num>
  <w:num w:numId="5" w16cid:durableId="881752974">
    <w:abstractNumId w:val="17"/>
  </w:num>
  <w:num w:numId="6" w16cid:durableId="1553737834">
    <w:abstractNumId w:val="8"/>
  </w:num>
  <w:num w:numId="7" w16cid:durableId="1967615689">
    <w:abstractNumId w:val="20"/>
  </w:num>
  <w:num w:numId="8" w16cid:durableId="1604387078">
    <w:abstractNumId w:val="21"/>
  </w:num>
  <w:num w:numId="9" w16cid:durableId="1095519222">
    <w:abstractNumId w:val="7"/>
  </w:num>
  <w:num w:numId="10" w16cid:durableId="971137709">
    <w:abstractNumId w:val="22"/>
  </w:num>
  <w:num w:numId="11" w16cid:durableId="1994412233">
    <w:abstractNumId w:val="24"/>
  </w:num>
  <w:num w:numId="12" w16cid:durableId="1988778429">
    <w:abstractNumId w:val="13"/>
  </w:num>
  <w:num w:numId="13" w16cid:durableId="910458004">
    <w:abstractNumId w:val="9"/>
  </w:num>
  <w:num w:numId="14" w16cid:durableId="1006858963">
    <w:abstractNumId w:val="19"/>
  </w:num>
  <w:num w:numId="15" w16cid:durableId="637875495">
    <w:abstractNumId w:val="1"/>
  </w:num>
  <w:num w:numId="16" w16cid:durableId="1824809399">
    <w:abstractNumId w:val="10"/>
  </w:num>
  <w:num w:numId="17" w16cid:durableId="153961803">
    <w:abstractNumId w:val="12"/>
  </w:num>
  <w:num w:numId="18" w16cid:durableId="359169617">
    <w:abstractNumId w:val="0"/>
  </w:num>
  <w:num w:numId="19" w16cid:durableId="2146963156">
    <w:abstractNumId w:val="4"/>
  </w:num>
  <w:num w:numId="20" w16cid:durableId="1792943417">
    <w:abstractNumId w:val="6"/>
  </w:num>
  <w:num w:numId="21" w16cid:durableId="564605295">
    <w:abstractNumId w:val="15"/>
  </w:num>
  <w:num w:numId="22" w16cid:durableId="1053700348">
    <w:abstractNumId w:val="16"/>
  </w:num>
  <w:num w:numId="23" w16cid:durableId="1177185864">
    <w:abstractNumId w:val="23"/>
  </w:num>
  <w:num w:numId="24" w16cid:durableId="1702584573">
    <w:abstractNumId w:val="5"/>
  </w:num>
  <w:num w:numId="25" w16cid:durableId="75112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19CD"/>
    <w:rsid w:val="0003504E"/>
    <w:rsid w:val="00036232"/>
    <w:rsid w:val="00071E16"/>
    <w:rsid w:val="000900A5"/>
    <w:rsid w:val="00093B9E"/>
    <w:rsid w:val="00095C58"/>
    <w:rsid w:val="000A786C"/>
    <w:rsid w:val="000B155A"/>
    <w:rsid w:val="000B1ACD"/>
    <w:rsid w:val="000C1459"/>
    <w:rsid w:val="000D0093"/>
    <w:rsid w:val="000D0CE4"/>
    <w:rsid w:val="000E45DC"/>
    <w:rsid w:val="000E5934"/>
    <w:rsid w:val="000F3EF5"/>
    <w:rsid w:val="000F53EC"/>
    <w:rsid w:val="00147EDE"/>
    <w:rsid w:val="00157632"/>
    <w:rsid w:val="001622F1"/>
    <w:rsid w:val="00173BF3"/>
    <w:rsid w:val="00197BB6"/>
    <w:rsid w:val="001A077B"/>
    <w:rsid w:val="001A2912"/>
    <w:rsid w:val="001A4A8D"/>
    <w:rsid w:val="001B2D35"/>
    <w:rsid w:val="001C07F7"/>
    <w:rsid w:val="001C5446"/>
    <w:rsid w:val="001C7B62"/>
    <w:rsid w:val="001D705D"/>
    <w:rsid w:val="001E23BF"/>
    <w:rsid w:val="001E3BCF"/>
    <w:rsid w:val="001E6234"/>
    <w:rsid w:val="001F1AFF"/>
    <w:rsid w:val="0020217E"/>
    <w:rsid w:val="0021078E"/>
    <w:rsid w:val="00210F98"/>
    <w:rsid w:val="002249C1"/>
    <w:rsid w:val="002326A0"/>
    <w:rsid w:val="00233C62"/>
    <w:rsid w:val="002367E3"/>
    <w:rsid w:val="00243600"/>
    <w:rsid w:val="00244941"/>
    <w:rsid w:val="00245242"/>
    <w:rsid w:val="00260533"/>
    <w:rsid w:val="00296E89"/>
    <w:rsid w:val="002B78ED"/>
    <w:rsid w:val="002D0ACC"/>
    <w:rsid w:val="002E1020"/>
    <w:rsid w:val="002F06DA"/>
    <w:rsid w:val="002F269F"/>
    <w:rsid w:val="002F286C"/>
    <w:rsid w:val="0030003C"/>
    <w:rsid w:val="003151A2"/>
    <w:rsid w:val="00324DA4"/>
    <w:rsid w:val="00332E02"/>
    <w:rsid w:val="003374B8"/>
    <w:rsid w:val="00390415"/>
    <w:rsid w:val="00396588"/>
    <w:rsid w:val="003A7DCD"/>
    <w:rsid w:val="003B4F7B"/>
    <w:rsid w:val="003B660A"/>
    <w:rsid w:val="003C78AB"/>
    <w:rsid w:val="003E0B05"/>
    <w:rsid w:val="003F1453"/>
    <w:rsid w:val="003F27E8"/>
    <w:rsid w:val="0040461A"/>
    <w:rsid w:val="004048C8"/>
    <w:rsid w:val="00420149"/>
    <w:rsid w:val="00432A3A"/>
    <w:rsid w:val="00445E0E"/>
    <w:rsid w:val="004528D3"/>
    <w:rsid w:val="00452ED6"/>
    <w:rsid w:val="00462544"/>
    <w:rsid w:val="004777A1"/>
    <w:rsid w:val="004B4EB5"/>
    <w:rsid w:val="004C2A43"/>
    <w:rsid w:val="004C4D71"/>
    <w:rsid w:val="004C7835"/>
    <w:rsid w:val="004F08B3"/>
    <w:rsid w:val="00501AE6"/>
    <w:rsid w:val="00513ABC"/>
    <w:rsid w:val="005155D9"/>
    <w:rsid w:val="00520D2C"/>
    <w:rsid w:val="00534F8C"/>
    <w:rsid w:val="00542571"/>
    <w:rsid w:val="00542CC8"/>
    <w:rsid w:val="005448E8"/>
    <w:rsid w:val="005520BA"/>
    <w:rsid w:val="00553174"/>
    <w:rsid w:val="00577190"/>
    <w:rsid w:val="00586C25"/>
    <w:rsid w:val="00587E7C"/>
    <w:rsid w:val="00595F76"/>
    <w:rsid w:val="005A3887"/>
    <w:rsid w:val="005C2260"/>
    <w:rsid w:val="005C49AB"/>
    <w:rsid w:val="005E2C13"/>
    <w:rsid w:val="005E427F"/>
    <w:rsid w:val="005E70B2"/>
    <w:rsid w:val="00614F3A"/>
    <w:rsid w:val="00620285"/>
    <w:rsid w:val="00621FC2"/>
    <w:rsid w:val="006277FA"/>
    <w:rsid w:val="00641E1E"/>
    <w:rsid w:val="00650B37"/>
    <w:rsid w:val="00656D0B"/>
    <w:rsid w:val="006652F1"/>
    <w:rsid w:val="00681511"/>
    <w:rsid w:val="0068595A"/>
    <w:rsid w:val="006871F2"/>
    <w:rsid w:val="00694EC6"/>
    <w:rsid w:val="006A2B3B"/>
    <w:rsid w:val="006A5E33"/>
    <w:rsid w:val="006B02DB"/>
    <w:rsid w:val="006B045F"/>
    <w:rsid w:val="006B181F"/>
    <w:rsid w:val="006B20C8"/>
    <w:rsid w:val="006C707E"/>
    <w:rsid w:val="006E4365"/>
    <w:rsid w:val="006E5348"/>
    <w:rsid w:val="006F2179"/>
    <w:rsid w:val="006F62C9"/>
    <w:rsid w:val="006F6FD8"/>
    <w:rsid w:val="00721C58"/>
    <w:rsid w:val="00721D69"/>
    <w:rsid w:val="007263FE"/>
    <w:rsid w:val="00741BAC"/>
    <w:rsid w:val="00743BC9"/>
    <w:rsid w:val="007522F7"/>
    <w:rsid w:val="00766A1C"/>
    <w:rsid w:val="0078370F"/>
    <w:rsid w:val="007924A2"/>
    <w:rsid w:val="00793E39"/>
    <w:rsid w:val="007A0339"/>
    <w:rsid w:val="007A2EBF"/>
    <w:rsid w:val="007A389E"/>
    <w:rsid w:val="007A6874"/>
    <w:rsid w:val="007B66B5"/>
    <w:rsid w:val="007C5005"/>
    <w:rsid w:val="007C75E9"/>
    <w:rsid w:val="007E7338"/>
    <w:rsid w:val="007F1DA4"/>
    <w:rsid w:val="007F399A"/>
    <w:rsid w:val="008068A2"/>
    <w:rsid w:val="0081121A"/>
    <w:rsid w:val="00817A94"/>
    <w:rsid w:val="00820C7D"/>
    <w:rsid w:val="0083555E"/>
    <w:rsid w:val="00842797"/>
    <w:rsid w:val="0084296D"/>
    <w:rsid w:val="00853E75"/>
    <w:rsid w:val="00855956"/>
    <w:rsid w:val="008624EA"/>
    <w:rsid w:val="008658F1"/>
    <w:rsid w:val="008825DC"/>
    <w:rsid w:val="00895F10"/>
    <w:rsid w:val="008A1DA9"/>
    <w:rsid w:val="008B5A5E"/>
    <w:rsid w:val="008F1723"/>
    <w:rsid w:val="008F5A63"/>
    <w:rsid w:val="00902F39"/>
    <w:rsid w:val="00923A63"/>
    <w:rsid w:val="00946BDB"/>
    <w:rsid w:val="00961797"/>
    <w:rsid w:val="00962410"/>
    <w:rsid w:val="009740C6"/>
    <w:rsid w:val="00975756"/>
    <w:rsid w:val="009825C7"/>
    <w:rsid w:val="0099379A"/>
    <w:rsid w:val="009948E8"/>
    <w:rsid w:val="009C03F3"/>
    <w:rsid w:val="009C29D0"/>
    <w:rsid w:val="009D5F86"/>
    <w:rsid w:val="009E0B79"/>
    <w:rsid w:val="009E2A83"/>
    <w:rsid w:val="009F5B06"/>
    <w:rsid w:val="00A00BD3"/>
    <w:rsid w:val="00A0137F"/>
    <w:rsid w:val="00A06CC4"/>
    <w:rsid w:val="00A11CA8"/>
    <w:rsid w:val="00A12D50"/>
    <w:rsid w:val="00A12F01"/>
    <w:rsid w:val="00A150B7"/>
    <w:rsid w:val="00A15541"/>
    <w:rsid w:val="00A43D99"/>
    <w:rsid w:val="00A55E9F"/>
    <w:rsid w:val="00A60112"/>
    <w:rsid w:val="00A6279E"/>
    <w:rsid w:val="00A73BBB"/>
    <w:rsid w:val="00A74711"/>
    <w:rsid w:val="00A74834"/>
    <w:rsid w:val="00A8193A"/>
    <w:rsid w:val="00A831B5"/>
    <w:rsid w:val="00A90D14"/>
    <w:rsid w:val="00A90D4A"/>
    <w:rsid w:val="00A934C6"/>
    <w:rsid w:val="00A9546B"/>
    <w:rsid w:val="00AA7D40"/>
    <w:rsid w:val="00AB1837"/>
    <w:rsid w:val="00AD066C"/>
    <w:rsid w:val="00AE23EA"/>
    <w:rsid w:val="00AE579A"/>
    <w:rsid w:val="00B04EA7"/>
    <w:rsid w:val="00B07266"/>
    <w:rsid w:val="00B07D18"/>
    <w:rsid w:val="00B300FC"/>
    <w:rsid w:val="00B33E7D"/>
    <w:rsid w:val="00B44094"/>
    <w:rsid w:val="00B53B77"/>
    <w:rsid w:val="00B63537"/>
    <w:rsid w:val="00B65C32"/>
    <w:rsid w:val="00B80EEA"/>
    <w:rsid w:val="00B97404"/>
    <w:rsid w:val="00BC643A"/>
    <w:rsid w:val="00BD3D8D"/>
    <w:rsid w:val="00BE4AA4"/>
    <w:rsid w:val="00BE63CE"/>
    <w:rsid w:val="00BF080D"/>
    <w:rsid w:val="00C0004E"/>
    <w:rsid w:val="00C17CE3"/>
    <w:rsid w:val="00C24BF7"/>
    <w:rsid w:val="00C33344"/>
    <w:rsid w:val="00C4566A"/>
    <w:rsid w:val="00C61824"/>
    <w:rsid w:val="00C645F1"/>
    <w:rsid w:val="00C651B0"/>
    <w:rsid w:val="00C776FF"/>
    <w:rsid w:val="00C903F5"/>
    <w:rsid w:val="00C966DE"/>
    <w:rsid w:val="00CB348E"/>
    <w:rsid w:val="00CD290A"/>
    <w:rsid w:val="00CD605F"/>
    <w:rsid w:val="00CF2EAC"/>
    <w:rsid w:val="00D22C7F"/>
    <w:rsid w:val="00D3477A"/>
    <w:rsid w:val="00D44BC0"/>
    <w:rsid w:val="00D645AC"/>
    <w:rsid w:val="00D91174"/>
    <w:rsid w:val="00DB389D"/>
    <w:rsid w:val="00DB4B5A"/>
    <w:rsid w:val="00DB4BC4"/>
    <w:rsid w:val="00DD018D"/>
    <w:rsid w:val="00DD540A"/>
    <w:rsid w:val="00DF1E32"/>
    <w:rsid w:val="00E0059A"/>
    <w:rsid w:val="00E23589"/>
    <w:rsid w:val="00E31CFA"/>
    <w:rsid w:val="00E33F5F"/>
    <w:rsid w:val="00E466FE"/>
    <w:rsid w:val="00E55751"/>
    <w:rsid w:val="00E65F44"/>
    <w:rsid w:val="00E67C36"/>
    <w:rsid w:val="00E91388"/>
    <w:rsid w:val="00EA3607"/>
    <w:rsid w:val="00EB377A"/>
    <w:rsid w:val="00EE5F28"/>
    <w:rsid w:val="00EF4ED0"/>
    <w:rsid w:val="00F00D87"/>
    <w:rsid w:val="00F12E92"/>
    <w:rsid w:val="00F1641B"/>
    <w:rsid w:val="00F23996"/>
    <w:rsid w:val="00F30247"/>
    <w:rsid w:val="00F3372D"/>
    <w:rsid w:val="00F4108F"/>
    <w:rsid w:val="00F62759"/>
    <w:rsid w:val="00F63C16"/>
    <w:rsid w:val="00F661F7"/>
    <w:rsid w:val="00FA0AEC"/>
    <w:rsid w:val="00FB1056"/>
    <w:rsid w:val="00FB473B"/>
    <w:rsid w:val="00FC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9</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33</cp:revision>
  <cp:lastPrinted>2025-06-19T08:53:00Z</cp:lastPrinted>
  <dcterms:created xsi:type="dcterms:W3CDTF">2025-09-01T09:30:00Z</dcterms:created>
  <dcterms:modified xsi:type="dcterms:W3CDTF">2026-02-25T13:18:00Z</dcterms:modified>
</cp:coreProperties>
</file>